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8C83A0A" w14:textId="58876814" w:rsidR="00485E75" w:rsidRPr="00AB573D" w:rsidRDefault="00485E75" w:rsidP="00485E75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</w:t>
            </w:r>
            <w:r w:rsidR="00252236">
              <w:rPr>
                <w:b/>
                <w:sz w:val="24"/>
                <w:szCs w:val="24"/>
              </w:rPr>
              <w:t>3</w:t>
            </w:r>
            <w:r w:rsidR="00D57EB0"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5B93DF00" w14:textId="727D8067" w:rsidR="00AB573D" w:rsidRPr="00AB573D" w:rsidRDefault="00246D14" w:rsidP="00485E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</w:t>
            </w:r>
            <w:r w:rsidR="00485E75">
              <w:rPr>
                <w:b/>
                <w:sz w:val="28"/>
                <w:szCs w:val="24"/>
              </w:rPr>
              <w:t>OSOBY OBOWIĄZANEJ</w:t>
            </w:r>
          </w:p>
        </w:tc>
      </w:tr>
    </w:tbl>
    <w:p w14:paraId="4DDD2272" w14:textId="2D6726F3" w:rsidR="0005779C" w:rsidRDefault="0005779C"/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9A310C">
        <w:trPr>
          <w:trHeight w:val="582"/>
        </w:trPr>
        <w:tc>
          <w:tcPr>
            <w:tcW w:w="14170" w:type="dxa"/>
            <w:shd w:val="clear" w:color="auto" w:fill="F2F2F2" w:themeFill="background1" w:themeFillShade="F2"/>
          </w:tcPr>
          <w:p w14:paraId="24BF8918" w14:textId="4999359A" w:rsidR="009A310C" w:rsidRPr="00A7566C" w:rsidRDefault="009A310C" w:rsidP="009A310C">
            <w:pPr>
              <w:suppressAutoHyphens/>
              <w:jc w:val="both"/>
            </w:pPr>
            <w:r w:rsidRPr="00A7566C">
              <w:t xml:space="preserve">Niniejszy formularz przeznaczony jest do wykorzystania w ramach indywidualnej oceny </w:t>
            </w:r>
            <w:r w:rsidR="00485E75">
              <w:t xml:space="preserve">Osób obowiązanych </w:t>
            </w:r>
            <w:r w:rsidRPr="00A7566C">
              <w:t xml:space="preserve">na stanowisko członka organu </w:t>
            </w:r>
            <w:r w:rsidR="00485E75">
              <w:t>D</w:t>
            </w:r>
            <w:r>
              <w:t xml:space="preserve">omu </w:t>
            </w:r>
            <w:r w:rsidR="00485E75">
              <w:t>M</w:t>
            </w:r>
            <w:r>
              <w:t>aklerskiego</w:t>
            </w:r>
            <w:r w:rsidRPr="00A7566C">
              <w:t xml:space="preserve">. Celem tego formularza </w:t>
            </w:r>
            <w:r w:rsidR="0018204D">
              <w:t xml:space="preserve">jest </w:t>
            </w:r>
            <w:r w:rsidRPr="00A7566C">
              <w:t xml:space="preserve">określenie poziomu kompetencji </w:t>
            </w:r>
            <w:r w:rsidR="00485E75">
              <w:t xml:space="preserve">Osoby obowiązanej </w:t>
            </w:r>
            <w:r w:rsidRPr="00A7566C">
              <w:t xml:space="preserve">oraz zestawienie go z poziomem kompetencji oczekiwanym od </w:t>
            </w:r>
            <w:r w:rsidR="00485E75">
              <w:t xml:space="preserve">Osób obowiązanych. </w:t>
            </w:r>
          </w:p>
          <w:p w14:paraId="6E11713C" w14:textId="078F2167" w:rsidR="009B179F" w:rsidRDefault="009A310C" w:rsidP="00485E75">
            <w:r w:rsidRPr="00A7566C">
              <w:t xml:space="preserve">Część formularza wyróżniona kolorem </w:t>
            </w:r>
            <w:r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Pr="00A7566C">
              <w:t xml:space="preserve"> powinna zostać wypełniona przez </w:t>
            </w:r>
            <w:r w:rsidR="00485E75">
              <w:t>Organ oceniający</w:t>
            </w:r>
            <w:r w:rsidRPr="00A7566C">
              <w:t xml:space="preserve">, natomiast część wyróżniona kolorem </w:t>
            </w:r>
            <w:r w:rsidR="00485E75">
              <w:t xml:space="preserve">            </w:t>
            </w:r>
            <w:r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Pr="00A7566C">
              <w:t xml:space="preserve"> – przez </w:t>
            </w:r>
            <w:r w:rsidR="00485E75">
              <w:t>Osobę obowiązaną</w:t>
            </w:r>
            <w:r w:rsidRPr="00A7566C">
              <w:t xml:space="preserve">. </w:t>
            </w:r>
          </w:p>
        </w:tc>
      </w:tr>
    </w:tbl>
    <w:p w14:paraId="694DFE55" w14:textId="77777777" w:rsidR="009B179F" w:rsidRDefault="009B179F" w:rsidP="009A310C">
      <w:pPr>
        <w:spacing w:after="0"/>
      </w:pPr>
    </w:p>
    <w:tbl>
      <w:tblPr>
        <w:tblStyle w:val="Tabela-Siatka"/>
        <w:tblW w:w="14169" w:type="dxa"/>
        <w:tblLayout w:type="fixed"/>
        <w:tblLook w:val="04A0" w:firstRow="1" w:lastRow="0" w:firstColumn="1" w:lastColumn="0" w:noHBand="0" w:noVBand="1"/>
      </w:tblPr>
      <w:tblGrid>
        <w:gridCol w:w="344"/>
        <w:gridCol w:w="4613"/>
        <w:gridCol w:w="2976"/>
        <w:gridCol w:w="2977"/>
        <w:gridCol w:w="1843"/>
        <w:gridCol w:w="1416"/>
      </w:tblGrid>
      <w:tr w:rsidR="00B653A7" w:rsidRPr="00246D14" w14:paraId="658EAEEC" w14:textId="77777777" w:rsidTr="00824DBE">
        <w:trPr>
          <w:cantSplit/>
        </w:trPr>
        <w:tc>
          <w:tcPr>
            <w:tcW w:w="14169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6390C03" w14:textId="1D194D9A" w:rsidR="00B653A7" w:rsidRDefault="00B653A7" w:rsidP="00485E75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Kompetencje w zakresie zarządzania </w:t>
            </w:r>
            <w:r w:rsidR="00485E75">
              <w:rPr>
                <w:b/>
                <w:sz w:val="28"/>
                <w:szCs w:val="24"/>
              </w:rPr>
              <w:t>D</w:t>
            </w:r>
            <w:r w:rsidR="00BF5B50">
              <w:rPr>
                <w:b/>
                <w:sz w:val="28"/>
                <w:szCs w:val="24"/>
              </w:rPr>
              <w:t xml:space="preserve">omem </w:t>
            </w:r>
            <w:r w:rsidR="00485E75">
              <w:rPr>
                <w:b/>
                <w:sz w:val="28"/>
                <w:szCs w:val="24"/>
              </w:rPr>
              <w:t>M</w:t>
            </w:r>
            <w:r w:rsidR="00BF5B50">
              <w:rPr>
                <w:b/>
                <w:sz w:val="28"/>
                <w:szCs w:val="24"/>
              </w:rPr>
              <w:t>aklerskim</w:t>
            </w:r>
          </w:p>
        </w:tc>
      </w:tr>
      <w:tr w:rsidR="00B653A7" w:rsidRPr="00246D14" w14:paraId="4ADE87CF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421B679" w14:textId="7D379C60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613" w:type="dxa"/>
            <w:shd w:val="clear" w:color="auto" w:fill="E7E6E6" w:themeFill="background2"/>
            <w:vAlign w:val="center"/>
          </w:tcPr>
          <w:p w14:paraId="2C621527" w14:textId="77777777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49D240CD" w14:textId="77777777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220CC4D4" w14:textId="362B5A2D" w:rsidR="00B653A7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E2C57">
              <w:rPr>
                <w:sz w:val="24"/>
                <w:szCs w:val="24"/>
              </w:rPr>
              <w:t>kompetencji</w:t>
            </w:r>
          </w:p>
          <w:p w14:paraId="7958495D" w14:textId="6906D6AE" w:rsidR="00B653A7" w:rsidRPr="00246D14" w:rsidRDefault="00B653A7" w:rsidP="008C3E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 w:rsidR="009A310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E52C397" w14:textId="5A0C67C9" w:rsidR="00B653A7" w:rsidRPr="00246D14" w:rsidRDefault="00B653A7" w:rsidP="002A435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A4355">
              <w:rPr>
                <w:sz w:val="24"/>
                <w:szCs w:val="24"/>
              </w:rPr>
              <w:t>Organ oceniający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8265DE9" w14:textId="2299CD03" w:rsidR="00B653A7" w:rsidRPr="00246D14" w:rsidRDefault="00B653A7" w:rsidP="00485E7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485E75">
              <w:rPr>
                <w:sz w:val="24"/>
                <w:szCs w:val="24"/>
              </w:rPr>
              <w:t>Dom Maklerski</w:t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62ED7641" w14:textId="72B630CB" w:rsidR="00B653A7" w:rsidRPr="00246D14" w:rsidRDefault="00B653A7" w:rsidP="00485E75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824DBE" w:rsidRPr="00246D14" w14:paraId="56A92BCF" w14:textId="77777777" w:rsidTr="00485E75"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60CF520" w14:textId="1129BCFA" w:rsidR="00824DBE" w:rsidRPr="00246D14" w:rsidRDefault="00824DBE" w:rsidP="00824DBE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7EECE88A" w14:textId="040299AF" w:rsidR="00824DBE" w:rsidRPr="00246D14" w:rsidRDefault="00824DBE" w:rsidP="00485E75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 xml:space="preserve">istotnych obszarów działalności prowadzonej przez </w:t>
            </w:r>
            <w:r w:rsidR="007131E9">
              <w:rPr>
                <w:rFonts w:cstheme="minorHAnsi"/>
                <w:sz w:val="24"/>
                <w:szCs w:val="24"/>
              </w:rPr>
              <w:t>Dom</w:t>
            </w:r>
            <w:r w:rsidRPr="00FE0D1C">
              <w:rPr>
                <w:rFonts w:cstheme="minorHAnsi"/>
                <w:sz w:val="24"/>
                <w:szCs w:val="24"/>
              </w:rPr>
              <w:t xml:space="preserve"> </w:t>
            </w:r>
            <w:r w:rsidR="007131E9">
              <w:rPr>
                <w:rFonts w:cstheme="minorHAnsi"/>
                <w:sz w:val="24"/>
                <w:szCs w:val="24"/>
              </w:rPr>
              <w:t>Maklerski</w:t>
            </w:r>
            <w:r w:rsidRPr="00FE0D1C">
              <w:rPr>
                <w:rFonts w:cstheme="minorHAnsi"/>
                <w:sz w:val="24"/>
                <w:szCs w:val="24"/>
              </w:rPr>
              <w:t xml:space="preserve"> oraz głównych ryzyk, które są z nimi związane</w:t>
            </w:r>
            <w:r>
              <w:rPr>
                <w:sz w:val="20"/>
                <w:szCs w:val="24"/>
              </w:rPr>
              <w:t xml:space="preserve"> </w:t>
            </w:r>
            <w:r w:rsidR="00485E75">
              <w:rPr>
                <w:sz w:val="20"/>
                <w:szCs w:val="24"/>
              </w:rPr>
              <w:t xml:space="preserve">Osoba obowiązana powinna </w:t>
            </w:r>
            <w:r w:rsidRPr="00BC76BF">
              <w:rPr>
                <w:sz w:val="20"/>
                <w:szCs w:val="24"/>
              </w:rPr>
              <w:t>wykazywać się wiedzą wskazującą, że rozumie on</w:t>
            </w:r>
            <w:r w:rsidR="00485E75">
              <w:rPr>
                <w:sz w:val="20"/>
                <w:szCs w:val="24"/>
              </w:rPr>
              <w:t>a</w:t>
            </w:r>
            <w:r w:rsidRPr="00BC76BF">
              <w:rPr>
                <w:sz w:val="20"/>
                <w:szCs w:val="24"/>
              </w:rPr>
              <w:t xml:space="preserve"> specyfikę branży, jak i właściwości </w:t>
            </w:r>
            <w:r w:rsidR="00485E75">
              <w:rPr>
                <w:sz w:val="20"/>
                <w:szCs w:val="24"/>
              </w:rPr>
              <w:t>Domu Maklerskiego -</w:t>
            </w:r>
            <w:r w:rsidRPr="00BC76BF">
              <w:rPr>
                <w:sz w:val="20"/>
                <w:szCs w:val="24"/>
              </w:rPr>
              <w:t xml:space="preserve"> w szczególności wie</w:t>
            </w:r>
            <w:r w:rsidR="008C3E89">
              <w:rPr>
                <w:sz w:val="20"/>
                <w:szCs w:val="24"/>
              </w:rPr>
              <w:t>,</w:t>
            </w:r>
            <w:r w:rsidRPr="00BC76BF">
              <w:rPr>
                <w:sz w:val="20"/>
                <w:szCs w:val="24"/>
              </w:rPr>
              <w:t xml:space="preserve"> jaką działalność prowadzi </w:t>
            </w:r>
            <w:r w:rsidR="00485E75">
              <w:rPr>
                <w:sz w:val="20"/>
                <w:szCs w:val="24"/>
              </w:rPr>
              <w:t>D</w:t>
            </w:r>
            <w:r w:rsidRPr="00BC76BF">
              <w:rPr>
                <w:sz w:val="20"/>
                <w:szCs w:val="24"/>
              </w:rPr>
              <w:t xml:space="preserve">om </w:t>
            </w:r>
            <w:r w:rsidR="00485E75">
              <w:rPr>
                <w:sz w:val="20"/>
                <w:szCs w:val="24"/>
              </w:rPr>
              <w:t>M</w:t>
            </w:r>
            <w:r w:rsidRPr="00BC76BF">
              <w:rPr>
                <w:sz w:val="20"/>
                <w:szCs w:val="24"/>
              </w:rPr>
              <w:t xml:space="preserve">aklerski, jakie usługi świadczy i może świadczyć, potrafi zidentyfikować ryzyka towarzyszące działalności prowadzonej przez </w:t>
            </w:r>
            <w:r w:rsidR="00485E75">
              <w:rPr>
                <w:sz w:val="20"/>
                <w:szCs w:val="24"/>
              </w:rPr>
              <w:t>Dom Maklerski</w:t>
            </w:r>
            <w:r w:rsidRPr="00BC76BF">
              <w:rPr>
                <w:sz w:val="20"/>
                <w:szCs w:val="24"/>
              </w:rPr>
              <w:t xml:space="preserve">. 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2D9550AF" w14:textId="77777777" w:rsidR="000E7E22" w:rsidRDefault="000F2B75" w:rsidP="00824DBE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Brak         </w:t>
            </w:r>
          </w:p>
          <w:p w14:paraId="2F27B8B8" w14:textId="46DE487B" w:rsidR="00824DBE" w:rsidRPr="00A70C70" w:rsidRDefault="000F2B75" w:rsidP="00824DBE">
            <w:pPr>
              <w:suppressAutoHyphens/>
            </w:pP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Podstawowy</w:t>
            </w:r>
          </w:p>
          <w:p w14:paraId="21E62C55" w14:textId="6273626D" w:rsidR="00824DBE" w:rsidRPr="00A70C70" w:rsidRDefault="000F2B75" w:rsidP="00824DBE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</w:t>
            </w:r>
            <w:r w:rsidR="00485E75">
              <w:t>Dobry</w:t>
            </w:r>
          </w:p>
          <w:p w14:paraId="163F8948" w14:textId="3553FC39" w:rsidR="00824DBE" w:rsidRPr="00A70C70" w:rsidRDefault="00824DBE" w:rsidP="00824DBE">
            <w:pPr>
              <w:suppressAutoHyphens/>
            </w:pPr>
          </w:p>
          <w:p w14:paraId="61A1FBCE" w14:textId="215C0A18" w:rsidR="00824DBE" w:rsidRPr="003D5449" w:rsidRDefault="00485E75" w:rsidP="00485E75">
            <w:pPr>
              <w:suppressAutoHyphens/>
            </w:pPr>
            <w:r>
              <w:t>U</w:t>
            </w:r>
            <w:r w:rsidR="00824DBE" w:rsidRPr="00A70C70">
              <w:t>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201A6B6" w14:textId="77777777" w:rsidR="0002677C" w:rsidRDefault="000F2B75" w:rsidP="0002677C">
            <w:pPr>
              <w:suppressAutoHyphens/>
            </w:pPr>
            <w:sdt>
              <w:sdtPr>
                <w:id w:val="-116646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14654CFE" w14:textId="77777777" w:rsidR="0002677C" w:rsidRPr="00A70C70" w:rsidRDefault="000F2B75" w:rsidP="0002677C">
            <w:pPr>
              <w:suppressAutoHyphens/>
            </w:pPr>
            <w:sdt>
              <w:sdtPr>
                <w:id w:val="137744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D475A96" w14:textId="6E47731D" w:rsidR="0002677C" w:rsidRPr="00A70C70" w:rsidRDefault="000F2B75" w:rsidP="0002677C">
            <w:pPr>
              <w:suppressAutoHyphens/>
            </w:pPr>
            <w:sdt>
              <w:sdtPr>
                <w:id w:val="78053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DB6E244" w14:textId="3249DC63" w:rsidR="00824DBE" w:rsidRDefault="0002677C" w:rsidP="0002677C">
            <w:pPr>
              <w:suppressAutoHyphens/>
            </w:pPr>
            <w:r>
              <w:t xml:space="preserve"> </w:t>
            </w:r>
          </w:p>
          <w:p w14:paraId="7B1AA66A" w14:textId="0ABF9B0B" w:rsidR="00824DBE" w:rsidRPr="0002016F" w:rsidRDefault="00485E75" w:rsidP="00485E75">
            <w:pPr>
              <w:suppressAutoHyphens/>
            </w:pPr>
            <w:r>
              <w:t>Ewentualne u</w:t>
            </w:r>
            <w:r w:rsidR="00824DBE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DD414A8" w14:textId="4A6FE77C" w:rsidR="0002677C" w:rsidRDefault="000F2B75" w:rsidP="0002677C">
            <w:pPr>
              <w:suppressAutoHyphens/>
            </w:pPr>
            <w:sdt>
              <w:sdtPr>
                <w:id w:val="-85226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C294D0B" w14:textId="77777777" w:rsidR="0002677C" w:rsidRPr="00A70C70" w:rsidRDefault="000F2B75" w:rsidP="0002677C">
            <w:pPr>
              <w:suppressAutoHyphens/>
            </w:pPr>
            <w:sdt>
              <w:sdtPr>
                <w:id w:val="1522893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77D7AEF" w14:textId="26F9623C" w:rsidR="0002677C" w:rsidRPr="00A70C70" w:rsidRDefault="000F2B75" w:rsidP="0002677C">
            <w:pPr>
              <w:suppressAutoHyphens/>
            </w:pPr>
            <w:sdt>
              <w:sdtPr>
                <w:id w:val="116828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486F1A15" w14:textId="0093F72E" w:rsidR="00824DBE" w:rsidRDefault="00824DBE" w:rsidP="00824DB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844CAA7" w14:textId="4F4329EC" w:rsidR="00824DBE" w:rsidRPr="00A70C70" w:rsidRDefault="000F2B75" w:rsidP="00824DBE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E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>spełnia</w:t>
            </w:r>
          </w:p>
          <w:p w14:paraId="1AD41EAA" w14:textId="6C1F2BDB" w:rsidR="00824DBE" w:rsidRPr="00DF77A1" w:rsidRDefault="000F2B75" w:rsidP="00824DBE">
            <w:pPr>
              <w:keepNext/>
              <w:rPr>
                <w:sz w:val="24"/>
                <w:szCs w:val="24"/>
              </w:rPr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5E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>nie spełnia</w:t>
            </w:r>
          </w:p>
        </w:tc>
      </w:tr>
      <w:tr w:rsidR="0002677C" w:rsidRPr="00246D14" w14:paraId="65F2EC8C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68399BE2" w14:textId="77777777" w:rsidR="0002677C" w:rsidRPr="00246D14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5F513393" w14:textId="77777777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zasad </w:t>
            </w:r>
            <w:r w:rsidRPr="00FE0D1C">
              <w:rPr>
                <w:rFonts w:cstheme="minorHAnsi"/>
                <w:sz w:val="24"/>
                <w:szCs w:val="24"/>
              </w:rPr>
              <w:t>rachunkowości i sprawozdawczości finansowej</w:t>
            </w:r>
          </w:p>
          <w:p w14:paraId="051E19C0" w14:textId="31788B1C" w:rsidR="0002677C" w:rsidRDefault="001113A7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>
              <w:rPr>
                <w:sz w:val="20"/>
                <w:szCs w:val="24"/>
              </w:rPr>
              <w:t xml:space="preserve"> potrafi interpretować dane finansowe i dane rachunkowe, potrafi na podstawie przedstawionych danych przeprowadzić analizę i wyciągnąć wnioski niezbędne do zarządzania w podmiocie z jednoczesnym uwzględnieniem sytuacji rynkowej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6AB9EB4C" w14:textId="583D053A" w:rsidR="0002677C" w:rsidRDefault="000F2B75" w:rsidP="0002677C">
            <w:pPr>
              <w:suppressAutoHyphens/>
            </w:pPr>
            <w:sdt>
              <w:sdtPr>
                <w:id w:val="16930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984A5F6" w14:textId="77777777" w:rsidR="0002677C" w:rsidRPr="00A70C70" w:rsidRDefault="000F2B75" w:rsidP="0002677C">
            <w:pPr>
              <w:suppressAutoHyphens/>
            </w:pPr>
            <w:sdt>
              <w:sdtPr>
                <w:id w:val="-73377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0DFC906" w14:textId="046B744C" w:rsidR="0002677C" w:rsidRPr="00A70C70" w:rsidRDefault="000F2B75" w:rsidP="0002677C">
            <w:pPr>
              <w:suppressAutoHyphens/>
            </w:pPr>
            <w:sdt>
              <w:sdtPr>
                <w:id w:val="198904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542FD25B" w14:textId="77777777" w:rsidR="0002677C" w:rsidRPr="00A70C70" w:rsidRDefault="0002677C" w:rsidP="0002677C">
            <w:pPr>
              <w:suppressAutoHyphens/>
            </w:pPr>
          </w:p>
          <w:p w14:paraId="49A5CB8B" w14:textId="77777777" w:rsidR="0002677C" w:rsidRDefault="0002677C" w:rsidP="0002677C">
            <w:pPr>
              <w:suppressAutoHyphens/>
            </w:pPr>
          </w:p>
          <w:p w14:paraId="6ECE9CC2" w14:textId="787E6F35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DDB3ABD" w14:textId="77777777" w:rsidR="0002677C" w:rsidRDefault="000F2B75" w:rsidP="0002677C">
            <w:pPr>
              <w:suppressAutoHyphens/>
            </w:pPr>
            <w:sdt>
              <w:sdtPr>
                <w:id w:val="239062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E694338" w14:textId="77777777" w:rsidR="0002677C" w:rsidRPr="00A70C70" w:rsidRDefault="000F2B75" w:rsidP="0002677C">
            <w:pPr>
              <w:suppressAutoHyphens/>
            </w:pPr>
            <w:sdt>
              <w:sdtPr>
                <w:id w:val="-18436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7449E06" w14:textId="5F116E9A" w:rsidR="0002677C" w:rsidRPr="00A70C70" w:rsidRDefault="000F2B75" w:rsidP="0002677C">
            <w:pPr>
              <w:suppressAutoHyphens/>
            </w:pPr>
            <w:sdt>
              <w:sdtPr>
                <w:id w:val="-68020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7E6F2E8F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25A54934" w14:textId="505CDAE1" w:rsidR="0002677C" w:rsidRDefault="00485E75" w:rsidP="00485E75">
            <w:pPr>
              <w:suppressAutoHyphens/>
            </w:pPr>
            <w:r>
              <w:t>Ewentualne</w:t>
            </w:r>
            <w:r w:rsidRPr="00A70C70">
              <w:t xml:space="preserve"> </w:t>
            </w:r>
            <w:r>
              <w:t>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E2798D1" w14:textId="77777777" w:rsidR="0002677C" w:rsidRDefault="000F2B75" w:rsidP="0002677C">
            <w:pPr>
              <w:suppressAutoHyphens/>
            </w:pPr>
            <w:sdt>
              <w:sdtPr>
                <w:id w:val="183325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01E43D8" w14:textId="77777777" w:rsidR="0002677C" w:rsidRPr="00A70C70" w:rsidRDefault="000F2B75" w:rsidP="0002677C">
            <w:pPr>
              <w:suppressAutoHyphens/>
            </w:pPr>
            <w:sdt>
              <w:sdtPr>
                <w:id w:val="166435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41D9EF7" w14:textId="64BDDFFD" w:rsidR="0002677C" w:rsidRPr="00A70C70" w:rsidRDefault="000F2B75" w:rsidP="0002677C">
            <w:pPr>
              <w:suppressAutoHyphens/>
            </w:pPr>
            <w:sdt>
              <w:sdtPr>
                <w:id w:val="143802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50F61A12" w14:textId="3C413F56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244D80D" w14:textId="77777777" w:rsidR="0002677C" w:rsidRPr="00A70C70" w:rsidRDefault="000F2B75" w:rsidP="0002677C">
            <w:pPr>
              <w:keepNext/>
            </w:pPr>
            <w:sdt>
              <w:sdtPr>
                <w:id w:val="-108606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0C52F7A3" w14:textId="66213A85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189580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004EC0C4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2143A1D4" w14:textId="34E0BBE8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6D943D86" w14:textId="242AD45F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zasad </w:t>
            </w:r>
            <w:r w:rsidRPr="00FE0D1C">
              <w:rPr>
                <w:rFonts w:cstheme="minorHAnsi"/>
                <w:sz w:val="24"/>
                <w:szCs w:val="24"/>
              </w:rPr>
              <w:t>zarządzania ryzykiem</w:t>
            </w:r>
          </w:p>
          <w:p w14:paraId="3AA3FB09" w14:textId="3BEE1D44" w:rsidR="0002677C" w:rsidRDefault="001113A7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>
              <w:rPr>
                <w:sz w:val="20"/>
                <w:szCs w:val="24"/>
              </w:rPr>
              <w:t xml:space="preserve"> rozumie metodologię zarządzania ryzykiem </w:t>
            </w:r>
            <w:r w:rsidR="008C3E89">
              <w:rPr>
                <w:sz w:val="20"/>
                <w:szCs w:val="24"/>
              </w:rPr>
              <w:t>–</w:t>
            </w:r>
            <w:r w:rsidR="0002677C">
              <w:rPr>
                <w:sz w:val="20"/>
                <w:szCs w:val="24"/>
              </w:rPr>
              <w:t xml:space="preserve"> </w:t>
            </w:r>
            <w:r w:rsidR="0002677C" w:rsidRPr="00943AF3">
              <w:rPr>
                <w:sz w:val="20"/>
                <w:szCs w:val="24"/>
              </w:rPr>
              <w:t xml:space="preserve">identyfikowania, oceny, monitorowania, kontrolowania i minimalizacji głównych rodzajów ryzyka dotyczącego </w:t>
            </w:r>
            <w:r w:rsidR="0002677C">
              <w:rPr>
                <w:sz w:val="20"/>
                <w:szCs w:val="24"/>
              </w:rPr>
              <w:t xml:space="preserve">działalności </w:t>
            </w:r>
            <w:r w:rsidR="007131E9">
              <w:rPr>
                <w:sz w:val="20"/>
                <w:szCs w:val="24"/>
              </w:rPr>
              <w:t>Dom</w:t>
            </w:r>
            <w:r w:rsidR="0002677C">
              <w:rPr>
                <w:sz w:val="20"/>
                <w:szCs w:val="24"/>
              </w:rPr>
              <w:t xml:space="preserve">u </w:t>
            </w:r>
            <w:r w:rsidR="007131E9">
              <w:rPr>
                <w:sz w:val="20"/>
                <w:szCs w:val="24"/>
              </w:rPr>
              <w:t>Maklerski</w:t>
            </w:r>
            <w:r w:rsidR="0002677C">
              <w:rPr>
                <w:sz w:val="20"/>
                <w:szCs w:val="24"/>
              </w:rPr>
              <w:t>ego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461F8324" w14:textId="45D0616E" w:rsidR="0002677C" w:rsidRDefault="000F2B75" w:rsidP="0002677C">
            <w:pPr>
              <w:suppressAutoHyphens/>
            </w:pPr>
            <w:sdt>
              <w:sdtPr>
                <w:id w:val="157315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1F6D5B1" w14:textId="77777777" w:rsidR="0002677C" w:rsidRPr="00A70C70" w:rsidRDefault="000F2B75" w:rsidP="0002677C">
            <w:pPr>
              <w:suppressAutoHyphens/>
            </w:pPr>
            <w:sdt>
              <w:sdtPr>
                <w:id w:val="208896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3570CA6F" w14:textId="2D51E4C7" w:rsidR="0002677C" w:rsidRPr="00A70C70" w:rsidRDefault="000F2B75" w:rsidP="0002677C">
            <w:pPr>
              <w:suppressAutoHyphens/>
            </w:pPr>
            <w:sdt>
              <w:sdtPr>
                <w:id w:val="108203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4312C3B7" w14:textId="77777777" w:rsidR="0002677C" w:rsidRPr="00A70C70" w:rsidRDefault="0002677C" w:rsidP="0002677C">
            <w:pPr>
              <w:suppressAutoHyphens/>
            </w:pPr>
          </w:p>
          <w:p w14:paraId="3FE26AE0" w14:textId="71E7FA72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0959BCF" w14:textId="77777777" w:rsidR="0002677C" w:rsidRDefault="000F2B75" w:rsidP="0002677C">
            <w:pPr>
              <w:suppressAutoHyphens/>
            </w:pPr>
            <w:sdt>
              <w:sdtPr>
                <w:id w:val="100470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68717DD" w14:textId="77777777" w:rsidR="0002677C" w:rsidRPr="00A70C70" w:rsidRDefault="000F2B75" w:rsidP="0002677C">
            <w:pPr>
              <w:suppressAutoHyphens/>
            </w:pPr>
            <w:sdt>
              <w:sdtPr>
                <w:id w:val="7595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7AB2D96" w14:textId="7292AE5C" w:rsidR="0002677C" w:rsidRPr="00A70C70" w:rsidRDefault="000F2B75" w:rsidP="0002677C">
            <w:pPr>
              <w:suppressAutoHyphens/>
            </w:pPr>
            <w:sdt>
              <w:sdtPr>
                <w:id w:val="-621995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6D00A516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4614A611" w14:textId="59F4952B" w:rsidR="0002677C" w:rsidRDefault="001113A7" w:rsidP="001113A7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CDF8FF4" w14:textId="77777777" w:rsidR="0002677C" w:rsidRDefault="000F2B75" w:rsidP="0002677C">
            <w:pPr>
              <w:suppressAutoHyphens/>
            </w:pPr>
            <w:sdt>
              <w:sdtPr>
                <w:id w:val="54265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57A27980" w14:textId="77777777" w:rsidR="0002677C" w:rsidRPr="00A70C70" w:rsidRDefault="000F2B75" w:rsidP="0002677C">
            <w:pPr>
              <w:suppressAutoHyphens/>
            </w:pPr>
            <w:sdt>
              <w:sdtPr>
                <w:id w:val="1526832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F1C1911" w14:textId="0056434B" w:rsidR="0002677C" w:rsidRPr="00A70C70" w:rsidRDefault="000F2B75" w:rsidP="0002677C">
            <w:pPr>
              <w:suppressAutoHyphens/>
            </w:pPr>
            <w:sdt>
              <w:sdtPr>
                <w:id w:val="-571896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133AE06" w14:textId="047DE5A5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7585BCBA" w14:textId="77777777" w:rsidR="0002677C" w:rsidRPr="00A70C70" w:rsidRDefault="000F2B75" w:rsidP="0002677C">
            <w:pPr>
              <w:keepNext/>
            </w:pPr>
            <w:sdt>
              <w:sdtPr>
                <w:id w:val="25393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56A7D978" w14:textId="26A61153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95856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A0EA842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5932D76" w14:textId="05003874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1C2B9CE2" w14:textId="11C3599E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systemów kontroli wewnętrznej, </w:t>
            </w:r>
            <w:r w:rsidRPr="00FE0D1C">
              <w:rPr>
                <w:rFonts w:cstheme="minorHAnsi"/>
                <w:sz w:val="24"/>
                <w:szCs w:val="24"/>
              </w:rPr>
              <w:t>zgodności działalności z prawem i audytu wewnętrznego</w:t>
            </w:r>
          </w:p>
          <w:p w14:paraId="0A43FB7C" w14:textId="69C0707D" w:rsidR="0002677C" w:rsidRPr="00FE0D1C" w:rsidRDefault="001113A7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Osoba obowiązana</w:t>
            </w:r>
            <w:r w:rsidR="0002677C">
              <w:rPr>
                <w:sz w:val="20"/>
                <w:szCs w:val="20"/>
              </w:rPr>
              <w:t xml:space="preserve"> rozumie zasady i standardy funkcjonowania w </w:t>
            </w:r>
            <w:r w:rsidR="007131E9">
              <w:rPr>
                <w:sz w:val="20"/>
                <w:szCs w:val="20"/>
              </w:rPr>
              <w:t>Dom</w:t>
            </w:r>
            <w:r w:rsidR="0002677C">
              <w:rPr>
                <w:sz w:val="20"/>
                <w:szCs w:val="20"/>
              </w:rPr>
              <w:t xml:space="preserve">ach </w:t>
            </w:r>
            <w:r w:rsidR="007131E9">
              <w:rPr>
                <w:sz w:val="20"/>
                <w:szCs w:val="20"/>
              </w:rPr>
              <w:t>Maklerski</w:t>
            </w:r>
            <w:r w:rsidR="0002677C">
              <w:rPr>
                <w:sz w:val="20"/>
                <w:szCs w:val="20"/>
              </w:rPr>
              <w:t>ch systemów kontroli wewnętrznej, nadzoru zgodności działalności z prawem i audytu wewnętrznego</w:t>
            </w:r>
            <w:r w:rsidR="008C3E89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3919B098" w14:textId="17B10C41" w:rsidR="0002677C" w:rsidRDefault="000F2B75" w:rsidP="0002677C">
            <w:pPr>
              <w:suppressAutoHyphens/>
            </w:pPr>
            <w:sdt>
              <w:sdtPr>
                <w:id w:val="887224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9987E07" w14:textId="19C85D18" w:rsidR="0002677C" w:rsidRPr="00A70C70" w:rsidRDefault="000F2B75" w:rsidP="0002677C">
            <w:pPr>
              <w:suppressAutoHyphens/>
            </w:pPr>
            <w:sdt>
              <w:sdtPr>
                <w:id w:val="195489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A279EF8" w14:textId="6D622A25" w:rsidR="0002677C" w:rsidRPr="00A70C70" w:rsidRDefault="000F2B75" w:rsidP="0002677C">
            <w:pPr>
              <w:suppressAutoHyphens/>
            </w:pPr>
            <w:sdt>
              <w:sdtPr>
                <w:id w:val="-152639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3D0A746C" w14:textId="77777777" w:rsidR="0002677C" w:rsidRPr="00A70C70" w:rsidRDefault="0002677C" w:rsidP="0002677C">
            <w:pPr>
              <w:suppressAutoHyphens/>
            </w:pPr>
          </w:p>
          <w:p w14:paraId="6D1381EF" w14:textId="760A1537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63C9BB7A" w14:textId="77777777" w:rsidR="0002677C" w:rsidRDefault="000F2B75" w:rsidP="0002677C">
            <w:pPr>
              <w:suppressAutoHyphens/>
            </w:pPr>
            <w:sdt>
              <w:sdtPr>
                <w:id w:val="6307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D2A223E" w14:textId="77777777" w:rsidR="0002677C" w:rsidRPr="00A70C70" w:rsidRDefault="000F2B75" w:rsidP="0002677C">
            <w:pPr>
              <w:suppressAutoHyphens/>
            </w:pPr>
            <w:sdt>
              <w:sdtPr>
                <w:id w:val="895942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4708614" w14:textId="5DF24234" w:rsidR="0002677C" w:rsidRPr="00A70C70" w:rsidRDefault="000F2B75" w:rsidP="0002677C">
            <w:pPr>
              <w:suppressAutoHyphens/>
            </w:pPr>
            <w:sdt>
              <w:sdtPr>
                <w:id w:val="-78558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4BD49A23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0490D1F7" w14:textId="74A86102" w:rsidR="0002677C" w:rsidRDefault="001113A7" w:rsidP="0002677C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FD98AA1" w14:textId="77777777" w:rsidR="0002677C" w:rsidRDefault="000F2B75" w:rsidP="0002677C">
            <w:pPr>
              <w:suppressAutoHyphens/>
            </w:pPr>
            <w:sdt>
              <w:sdtPr>
                <w:id w:val="-182627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17A82878" w14:textId="77777777" w:rsidR="0002677C" w:rsidRPr="00A70C70" w:rsidRDefault="000F2B75" w:rsidP="0002677C">
            <w:pPr>
              <w:suppressAutoHyphens/>
            </w:pPr>
            <w:sdt>
              <w:sdtPr>
                <w:id w:val="186370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9253F3D" w14:textId="6100FA4C" w:rsidR="0002677C" w:rsidRPr="00A70C70" w:rsidRDefault="000F2B75" w:rsidP="0002677C">
            <w:pPr>
              <w:suppressAutoHyphens/>
            </w:pPr>
            <w:sdt>
              <w:sdtPr>
                <w:id w:val="-82759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42D3AD46" w14:textId="0573A04E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021E2A18" w14:textId="77777777" w:rsidR="0002677C" w:rsidRPr="00A70C70" w:rsidRDefault="000F2B75" w:rsidP="0002677C">
            <w:pPr>
              <w:keepNext/>
            </w:pPr>
            <w:sdt>
              <w:sdtPr>
                <w:id w:val="1815369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4DAB2747" w14:textId="5A41850D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1298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534DDBE6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1EF22028" w14:textId="6A586769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780FC6DB" w14:textId="585EE54A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technologii i bezpieczeństwa informacyjnego</w:t>
            </w:r>
          </w:p>
          <w:p w14:paraId="49C855AE" w14:textId="4F6708A4" w:rsidR="0002677C" w:rsidRPr="00FE0D1C" w:rsidRDefault="001113A7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Osoba obowiązana</w:t>
            </w:r>
            <w:r w:rsidR="0002677C" w:rsidRPr="006A194B">
              <w:rPr>
                <w:sz w:val="20"/>
                <w:szCs w:val="20"/>
              </w:rPr>
              <w:t xml:space="preserve"> zna i</w:t>
            </w:r>
            <w:r w:rsidR="0002677C">
              <w:rPr>
                <w:sz w:val="20"/>
                <w:szCs w:val="20"/>
              </w:rPr>
              <w:t xml:space="preserve"> rozumie zasady funkcjonowania systemów informatycznych </w:t>
            </w:r>
            <w:r w:rsidR="007131E9">
              <w:rPr>
                <w:sz w:val="20"/>
                <w:szCs w:val="20"/>
              </w:rPr>
              <w:t>Dom</w:t>
            </w:r>
            <w:r w:rsidR="0002677C">
              <w:rPr>
                <w:sz w:val="20"/>
                <w:szCs w:val="20"/>
              </w:rPr>
              <w:t xml:space="preserve">ów </w:t>
            </w:r>
            <w:r w:rsidR="007131E9">
              <w:rPr>
                <w:sz w:val="20"/>
                <w:szCs w:val="20"/>
              </w:rPr>
              <w:t>Maklerski</w:t>
            </w:r>
            <w:r w:rsidR="0002677C">
              <w:rPr>
                <w:sz w:val="20"/>
                <w:szCs w:val="20"/>
              </w:rPr>
              <w:t>ch, w szczególności systemów zabezpieczających przed uzyskaniem nieuprawnionego dostępu do danych przetwarzanych przez systemy informatyczne</w:t>
            </w:r>
            <w:r w:rsidR="008C3E89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52019B17" w14:textId="77777777" w:rsidR="0002677C" w:rsidRDefault="000F2B75" w:rsidP="0002677C">
            <w:pPr>
              <w:suppressAutoHyphens/>
            </w:pPr>
            <w:sdt>
              <w:sdtPr>
                <w:id w:val="106414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2A7A683" w14:textId="314414C4" w:rsidR="0002677C" w:rsidRPr="00A70C70" w:rsidRDefault="000F2B75" w:rsidP="0002677C">
            <w:pPr>
              <w:suppressAutoHyphens/>
            </w:pPr>
            <w:sdt>
              <w:sdtPr>
                <w:id w:val="180365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4ABAB50" w14:textId="781EF49B" w:rsidR="0002677C" w:rsidRPr="00A70C70" w:rsidRDefault="000F2B75" w:rsidP="0002677C">
            <w:pPr>
              <w:suppressAutoHyphens/>
            </w:pPr>
            <w:sdt>
              <w:sdtPr>
                <w:id w:val="181314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18D7C6A0" w14:textId="77777777" w:rsidR="0002677C" w:rsidRPr="00A70C70" w:rsidRDefault="0002677C" w:rsidP="0002677C">
            <w:pPr>
              <w:suppressAutoHyphens/>
            </w:pPr>
          </w:p>
          <w:p w14:paraId="258BC210" w14:textId="72BA293C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E812787" w14:textId="77777777" w:rsidR="0002677C" w:rsidRDefault="000F2B75" w:rsidP="0002677C">
            <w:pPr>
              <w:suppressAutoHyphens/>
            </w:pPr>
            <w:sdt>
              <w:sdtPr>
                <w:id w:val="-37685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BD635D7" w14:textId="77777777" w:rsidR="0002677C" w:rsidRPr="00A70C70" w:rsidRDefault="000F2B75" w:rsidP="0002677C">
            <w:pPr>
              <w:suppressAutoHyphens/>
            </w:pPr>
            <w:sdt>
              <w:sdtPr>
                <w:id w:val="108974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3DC641A" w14:textId="0BE47588" w:rsidR="0002677C" w:rsidRPr="00A70C70" w:rsidRDefault="000F2B75" w:rsidP="0002677C">
            <w:pPr>
              <w:suppressAutoHyphens/>
            </w:pPr>
            <w:sdt>
              <w:sdtPr>
                <w:id w:val="-182342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68F921F8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1869BF94" w14:textId="073C3DFB" w:rsidR="0002677C" w:rsidRDefault="001113A7" w:rsidP="001113A7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FFA75A9" w14:textId="77777777" w:rsidR="0002677C" w:rsidRDefault="000F2B75" w:rsidP="0002677C">
            <w:pPr>
              <w:suppressAutoHyphens/>
            </w:pPr>
            <w:sdt>
              <w:sdtPr>
                <w:id w:val="104733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680A0D3" w14:textId="77777777" w:rsidR="0002677C" w:rsidRPr="00A70C70" w:rsidRDefault="000F2B75" w:rsidP="0002677C">
            <w:pPr>
              <w:suppressAutoHyphens/>
            </w:pPr>
            <w:sdt>
              <w:sdtPr>
                <w:id w:val="48258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FA67C9F" w14:textId="2E4D09D9" w:rsidR="0002677C" w:rsidRPr="00A70C70" w:rsidRDefault="000F2B75" w:rsidP="0002677C">
            <w:pPr>
              <w:suppressAutoHyphens/>
            </w:pPr>
            <w:sdt>
              <w:sdtPr>
                <w:id w:val="-33491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BE7497D" w14:textId="630488A1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1BE76E7B" w14:textId="77777777" w:rsidR="0002677C" w:rsidRPr="00A70C70" w:rsidRDefault="000F2B75" w:rsidP="0002677C">
            <w:pPr>
              <w:keepNext/>
            </w:pPr>
            <w:sdt>
              <w:sdtPr>
                <w:id w:val="-35511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2FB0724" w14:textId="18861AA3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205426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47B98421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6AC3D52B" w14:textId="50B76A94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08C69E2E" w14:textId="773117A9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lokalnych, regionalnych lub globalnych rynków</w:t>
            </w:r>
          </w:p>
          <w:p w14:paraId="75D5B6F2" w14:textId="7197A80E" w:rsidR="0002677C" w:rsidRPr="00FE0D1C" w:rsidRDefault="001113A7" w:rsidP="001113A7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>
              <w:rPr>
                <w:sz w:val="20"/>
                <w:szCs w:val="24"/>
              </w:rPr>
              <w:t xml:space="preserve"> zna rynek finansowy na poziomie lokalnym</w:t>
            </w:r>
            <w:r>
              <w:rPr>
                <w:sz w:val="20"/>
                <w:szCs w:val="24"/>
              </w:rPr>
              <w:t xml:space="preserve"> i</w:t>
            </w:r>
            <w:r w:rsidR="0002677C">
              <w:rPr>
                <w:sz w:val="20"/>
                <w:szCs w:val="24"/>
              </w:rPr>
              <w:t xml:space="preserve"> regionalnym</w:t>
            </w:r>
            <w:r w:rsidR="008C3E89">
              <w:rPr>
                <w:sz w:val="20"/>
                <w:szCs w:val="24"/>
              </w:rPr>
              <w:t>.</w:t>
            </w:r>
            <w:r w:rsidR="0002677C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2BCEF7CB" w14:textId="5C50636B" w:rsidR="0002677C" w:rsidRDefault="000F2B75" w:rsidP="0002677C">
            <w:pPr>
              <w:suppressAutoHyphens/>
            </w:pPr>
            <w:sdt>
              <w:sdtPr>
                <w:id w:val="-122628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3E04E53D" w14:textId="77777777" w:rsidR="0002677C" w:rsidRPr="00A70C70" w:rsidRDefault="000F2B75" w:rsidP="0002677C">
            <w:pPr>
              <w:suppressAutoHyphens/>
            </w:pPr>
            <w:sdt>
              <w:sdtPr>
                <w:id w:val="-198168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CDB1B5E" w14:textId="2621A6E7" w:rsidR="0002677C" w:rsidRPr="00A70C70" w:rsidRDefault="000F2B75" w:rsidP="0002677C">
            <w:pPr>
              <w:suppressAutoHyphens/>
            </w:pPr>
            <w:sdt>
              <w:sdtPr>
                <w:id w:val="106552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5CB5C68E" w14:textId="77777777" w:rsidR="0002677C" w:rsidRPr="00A70C70" w:rsidRDefault="0002677C" w:rsidP="0002677C">
            <w:pPr>
              <w:suppressAutoHyphens/>
            </w:pPr>
          </w:p>
          <w:p w14:paraId="22D86A6F" w14:textId="4013117A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421FE85" w14:textId="77777777" w:rsidR="0002677C" w:rsidRDefault="000F2B75" w:rsidP="0002677C">
            <w:pPr>
              <w:suppressAutoHyphens/>
            </w:pPr>
            <w:sdt>
              <w:sdtPr>
                <w:id w:val="78639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72DF6C7" w14:textId="77777777" w:rsidR="0002677C" w:rsidRPr="00A70C70" w:rsidRDefault="000F2B75" w:rsidP="0002677C">
            <w:pPr>
              <w:suppressAutoHyphens/>
            </w:pPr>
            <w:sdt>
              <w:sdtPr>
                <w:id w:val="-191160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9610E8D" w14:textId="25F7D896" w:rsidR="0002677C" w:rsidRPr="00A70C70" w:rsidRDefault="000F2B75" w:rsidP="0002677C">
            <w:pPr>
              <w:suppressAutoHyphens/>
            </w:pPr>
            <w:sdt>
              <w:sdtPr>
                <w:id w:val="189562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B782465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0D196609" w14:textId="315AB146" w:rsidR="0002677C" w:rsidRDefault="001113A7" w:rsidP="001113A7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FF2E53B" w14:textId="77777777" w:rsidR="0002677C" w:rsidRDefault="000F2B75" w:rsidP="0002677C">
            <w:pPr>
              <w:suppressAutoHyphens/>
            </w:pPr>
            <w:sdt>
              <w:sdtPr>
                <w:id w:val="3418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450B9F6" w14:textId="77777777" w:rsidR="0002677C" w:rsidRPr="00A70C70" w:rsidRDefault="000F2B75" w:rsidP="0002677C">
            <w:pPr>
              <w:suppressAutoHyphens/>
            </w:pPr>
            <w:sdt>
              <w:sdtPr>
                <w:id w:val="-47398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7FAEEAD" w14:textId="2424D0D5" w:rsidR="0002677C" w:rsidRPr="00A70C70" w:rsidRDefault="000F2B75" w:rsidP="0002677C">
            <w:pPr>
              <w:suppressAutoHyphens/>
            </w:pPr>
            <w:sdt>
              <w:sdtPr>
                <w:id w:val="211994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26C307A" w14:textId="49997A3A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35D9C9E1" w14:textId="77777777" w:rsidR="0002677C" w:rsidRPr="00A70C70" w:rsidRDefault="000F2B75" w:rsidP="0002677C">
            <w:pPr>
              <w:keepNext/>
            </w:pPr>
            <w:sdt>
              <w:sdtPr>
                <w:id w:val="9660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2B8C7D8E" w14:textId="7F229753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25017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8636EE9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6302ED4" w14:textId="78E8434B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636E2CC9" w14:textId="77777777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otoczenia regulacyjnego</w:t>
            </w:r>
          </w:p>
          <w:p w14:paraId="118163D8" w14:textId="11F551E5" w:rsidR="0002677C" w:rsidRDefault="001113A7" w:rsidP="00E0470A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>
              <w:rPr>
                <w:sz w:val="20"/>
                <w:szCs w:val="24"/>
              </w:rPr>
              <w:t xml:space="preserve"> zna przepis</w:t>
            </w:r>
            <w:r w:rsidR="008C3E89">
              <w:rPr>
                <w:sz w:val="20"/>
                <w:szCs w:val="24"/>
              </w:rPr>
              <w:t>y, rekomendacje organów nadzoru</w:t>
            </w:r>
            <w:r w:rsidR="0002677C">
              <w:rPr>
                <w:sz w:val="20"/>
                <w:szCs w:val="24"/>
              </w:rPr>
              <w:t xml:space="preserve"> i kodeksy dobrych praktyk regulujące działalność </w:t>
            </w:r>
            <w:r w:rsidR="007131E9">
              <w:rPr>
                <w:sz w:val="20"/>
                <w:szCs w:val="24"/>
              </w:rPr>
              <w:t>Dom</w:t>
            </w:r>
            <w:r w:rsidR="00E0470A">
              <w:rPr>
                <w:sz w:val="20"/>
                <w:szCs w:val="24"/>
              </w:rPr>
              <w:t xml:space="preserve">ów </w:t>
            </w:r>
            <w:r w:rsidR="007131E9">
              <w:rPr>
                <w:sz w:val="20"/>
                <w:szCs w:val="24"/>
              </w:rPr>
              <w:t>Maklerski</w:t>
            </w:r>
            <w:r w:rsidR="00E0470A">
              <w:rPr>
                <w:sz w:val="20"/>
                <w:szCs w:val="24"/>
              </w:rPr>
              <w:t>ch</w:t>
            </w:r>
            <w:r w:rsidR="0002677C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462D3769" w14:textId="77777777" w:rsidR="0002677C" w:rsidRDefault="000F2B75" w:rsidP="0002677C">
            <w:pPr>
              <w:suppressAutoHyphens/>
            </w:pPr>
            <w:sdt>
              <w:sdtPr>
                <w:id w:val="-79158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FB39AB9" w14:textId="5C685AB4" w:rsidR="0002677C" w:rsidRPr="00A70C70" w:rsidRDefault="000F2B75" w:rsidP="0002677C">
            <w:pPr>
              <w:suppressAutoHyphens/>
            </w:pPr>
            <w:sdt>
              <w:sdtPr>
                <w:id w:val="-74364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38439468" w14:textId="5CD1E53D" w:rsidR="0002677C" w:rsidRPr="00A70C70" w:rsidRDefault="000F2B75" w:rsidP="0002677C">
            <w:pPr>
              <w:suppressAutoHyphens/>
            </w:pPr>
            <w:sdt>
              <w:sdtPr>
                <w:id w:val="4738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13A13486" w14:textId="77777777" w:rsidR="0002677C" w:rsidRPr="00A70C70" w:rsidRDefault="0002677C" w:rsidP="0002677C">
            <w:pPr>
              <w:suppressAutoHyphens/>
            </w:pPr>
          </w:p>
          <w:p w14:paraId="2BE00D5E" w14:textId="0C706E68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7D9E84EE" w14:textId="77777777" w:rsidR="0002677C" w:rsidRDefault="000F2B75" w:rsidP="0002677C">
            <w:pPr>
              <w:suppressAutoHyphens/>
            </w:pPr>
            <w:sdt>
              <w:sdtPr>
                <w:id w:val="90464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55EA615" w14:textId="77777777" w:rsidR="0002677C" w:rsidRPr="00A70C70" w:rsidRDefault="000F2B75" w:rsidP="0002677C">
            <w:pPr>
              <w:suppressAutoHyphens/>
            </w:pPr>
            <w:sdt>
              <w:sdtPr>
                <w:id w:val="-190852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B1644C6" w14:textId="6C3C2F63" w:rsidR="0002677C" w:rsidRPr="00A70C70" w:rsidRDefault="000F2B75" w:rsidP="0002677C">
            <w:pPr>
              <w:suppressAutoHyphens/>
            </w:pPr>
            <w:sdt>
              <w:sdtPr>
                <w:id w:val="-6566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00595546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001EA46F" w14:textId="3313DF02" w:rsidR="0002677C" w:rsidRDefault="00E0470A" w:rsidP="00E0470A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0D34D40" w14:textId="77777777" w:rsidR="0002677C" w:rsidRDefault="000F2B75" w:rsidP="0002677C">
            <w:pPr>
              <w:suppressAutoHyphens/>
            </w:pPr>
            <w:sdt>
              <w:sdtPr>
                <w:id w:val="-1055625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547631E" w14:textId="77777777" w:rsidR="0002677C" w:rsidRPr="00A70C70" w:rsidRDefault="000F2B75" w:rsidP="0002677C">
            <w:pPr>
              <w:suppressAutoHyphens/>
            </w:pPr>
            <w:sdt>
              <w:sdtPr>
                <w:id w:val="3037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EB2720D" w14:textId="0F60F9F6" w:rsidR="0002677C" w:rsidRPr="00A70C70" w:rsidRDefault="000F2B75" w:rsidP="0002677C">
            <w:pPr>
              <w:suppressAutoHyphens/>
            </w:pPr>
            <w:sdt>
              <w:sdtPr>
                <w:id w:val="43023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3296F44B" w14:textId="0576276E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6DB02331" w14:textId="77777777" w:rsidR="0002677C" w:rsidRPr="00A70C70" w:rsidRDefault="000F2B75" w:rsidP="0002677C">
            <w:pPr>
              <w:keepNext/>
            </w:pPr>
            <w:sdt>
              <w:sdtPr>
                <w:id w:val="-14035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4269D0A" w14:textId="1942EF29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162118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2FB3E360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B741AFC" w14:textId="36662C8D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056E59B4" w14:textId="4D42D1AF" w:rsidR="0002677C" w:rsidRDefault="0002677C" w:rsidP="0002677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Umiejętność planowania strategicznego</w:t>
            </w:r>
          </w:p>
          <w:p w14:paraId="103C1C20" w14:textId="2A8F6AA5" w:rsidR="0002677C" w:rsidRDefault="001113A7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>
              <w:rPr>
                <w:sz w:val="20"/>
                <w:szCs w:val="24"/>
              </w:rPr>
              <w:t xml:space="preserve"> posiada umiejętności pozwalające mu na zrozumienie strategii działalności/biznesplanu </w:t>
            </w:r>
            <w:r w:rsidR="007131E9">
              <w:rPr>
                <w:sz w:val="20"/>
                <w:szCs w:val="24"/>
              </w:rPr>
              <w:t>Dom</w:t>
            </w:r>
            <w:r w:rsidR="0002677C">
              <w:rPr>
                <w:sz w:val="20"/>
                <w:szCs w:val="24"/>
              </w:rPr>
              <w:t xml:space="preserve">u </w:t>
            </w:r>
            <w:r w:rsidR="007131E9">
              <w:rPr>
                <w:sz w:val="20"/>
                <w:szCs w:val="24"/>
              </w:rPr>
              <w:t>Maklerski</w:t>
            </w:r>
            <w:r w:rsidR="0002677C">
              <w:rPr>
                <w:sz w:val="20"/>
                <w:szCs w:val="24"/>
              </w:rPr>
              <w:t>ego, jak również potrafi konstruować strategie długoterminowe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7AAF0603" w14:textId="072AE004" w:rsidR="0002677C" w:rsidRDefault="000F2B75" w:rsidP="0002677C">
            <w:pPr>
              <w:suppressAutoHyphens/>
            </w:pPr>
            <w:sdt>
              <w:sdtPr>
                <w:id w:val="-13082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7869801" w14:textId="126106DB" w:rsidR="0002677C" w:rsidRPr="00A70C70" w:rsidRDefault="000F2B75" w:rsidP="0002677C">
            <w:pPr>
              <w:suppressAutoHyphens/>
            </w:pPr>
            <w:sdt>
              <w:sdtPr>
                <w:id w:val="2842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1821C07" w14:textId="48422FC1" w:rsidR="0002677C" w:rsidRPr="00A70C70" w:rsidRDefault="000F2B75" w:rsidP="0002677C">
            <w:pPr>
              <w:suppressAutoHyphens/>
            </w:pPr>
            <w:sdt>
              <w:sdtPr>
                <w:id w:val="-191307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77A2531" w14:textId="77777777" w:rsidR="0002677C" w:rsidRPr="00A70C70" w:rsidRDefault="0002677C" w:rsidP="0002677C">
            <w:pPr>
              <w:suppressAutoHyphens/>
            </w:pPr>
          </w:p>
          <w:p w14:paraId="6D0FC4A6" w14:textId="346CE81E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BEE88BB" w14:textId="77777777" w:rsidR="0002677C" w:rsidRDefault="000F2B75" w:rsidP="0002677C">
            <w:pPr>
              <w:suppressAutoHyphens/>
            </w:pPr>
            <w:sdt>
              <w:sdtPr>
                <w:id w:val="2002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90039FC" w14:textId="77777777" w:rsidR="0002677C" w:rsidRPr="00A70C70" w:rsidRDefault="000F2B75" w:rsidP="0002677C">
            <w:pPr>
              <w:suppressAutoHyphens/>
            </w:pPr>
            <w:sdt>
              <w:sdtPr>
                <w:id w:val="-34069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8BD6066" w14:textId="5700B1E8" w:rsidR="0002677C" w:rsidRPr="00A70C70" w:rsidRDefault="000F2B75" w:rsidP="0002677C">
            <w:pPr>
              <w:suppressAutoHyphens/>
            </w:pPr>
            <w:sdt>
              <w:sdtPr>
                <w:id w:val="-1251887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3427F99B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16A52315" w14:textId="62ADDDEE" w:rsidR="0002677C" w:rsidRDefault="00E0470A" w:rsidP="0002677C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3005902" w14:textId="77777777" w:rsidR="0002677C" w:rsidRDefault="000F2B75" w:rsidP="0002677C">
            <w:pPr>
              <w:suppressAutoHyphens/>
            </w:pPr>
            <w:sdt>
              <w:sdtPr>
                <w:id w:val="-168790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5F635CC5" w14:textId="77777777" w:rsidR="0002677C" w:rsidRPr="00A70C70" w:rsidRDefault="000F2B75" w:rsidP="0002677C">
            <w:pPr>
              <w:suppressAutoHyphens/>
            </w:pPr>
            <w:sdt>
              <w:sdtPr>
                <w:id w:val="-33691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1EAD081" w14:textId="6E12758B" w:rsidR="0002677C" w:rsidRPr="00A70C70" w:rsidRDefault="000F2B75" w:rsidP="0002677C">
            <w:pPr>
              <w:suppressAutoHyphens/>
            </w:pPr>
            <w:sdt>
              <w:sdtPr>
                <w:id w:val="137727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583F981F" w14:textId="0B21993C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4A62A19" w14:textId="77777777" w:rsidR="0002677C" w:rsidRPr="00A70C70" w:rsidRDefault="000F2B75" w:rsidP="0002677C">
            <w:pPr>
              <w:keepNext/>
            </w:pPr>
            <w:sdt>
              <w:sdtPr>
                <w:id w:val="-8045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1ABBBFA5" w14:textId="35A9D96C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30427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CD93B03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3D7D0968" w14:textId="5FEF37DA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68577185" w14:textId="03D0DD20" w:rsidR="0002677C" w:rsidRDefault="0002677C" w:rsidP="0002677C">
            <w:pPr>
              <w:suppressAutoHyphens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Umiejętność </w:t>
            </w:r>
            <w:r w:rsidRPr="00FE0D1C">
              <w:rPr>
                <w:rFonts w:cstheme="minorHAnsi"/>
                <w:sz w:val="24"/>
                <w:szCs w:val="24"/>
              </w:rPr>
              <w:t>zarządzania spółką lub organizacją</w:t>
            </w:r>
          </w:p>
          <w:p w14:paraId="00DE9D3F" w14:textId="1D352C6C" w:rsidR="0002677C" w:rsidRDefault="001113A7" w:rsidP="0002677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02677C" w:rsidRPr="0074176E">
              <w:rPr>
                <w:sz w:val="20"/>
                <w:szCs w:val="24"/>
              </w:rPr>
              <w:t xml:space="preserve"> potrafi realizować nałożone </w:t>
            </w:r>
            <w:r w:rsidR="0002677C">
              <w:rPr>
                <w:sz w:val="20"/>
                <w:szCs w:val="24"/>
              </w:rPr>
              <w:t>strategie działalności/biznesplany, jak również kierować organizacją</w:t>
            </w:r>
            <w:r w:rsidR="008C3E89">
              <w:rPr>
                <w:sz w:val="20"/>
                <w:szCs w:val="24"/>
              </w:rPr>
              <w:t>.</w:t>
            </w:r>
            <w:r w:rsidR="0002677C">
              <w:rPr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2CF90B99" w14:textId="646DCC08" w:rsidR="0002677C" w:rsidRDefault="000F2B75" w:rsidP="0002677C">
            <w:pPr>
              <w:suppressAutoHyphens/>
            </w:pPr>
            <w:sdt>
              <w:sdtPr>
                <w:id w:val="-72590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93EA4DA" w14:textId="77777777" w:rsidR="0002677C" w:rsidRPr="00A70C70" w:rsidRDefault="000F2B75" w:rsidP="0002677C">
            <w:pPr>
              <w:suppressAutoHyphens/>
            </w:pPr>
            <w:sdt>
              <w:sdtPr>
                <w:id w:val="-201205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34728D9" w14:textId="51DCFBD0" w:rsidR="0002677C" w:rsidRPr="00A70C70" w:rsidRDefault="000F2B75" w:rsidP="0002677C">
            <w:pPr>
              <w:suppressAutoHyphens/>
            </w:pPr>
            <w:sdt>
              <w:sdtPr>
                <w:id w:val="202250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7BF6C4A6" w14:textId="77777777" w:rsidR="0002677C" w:rsidRPr="00A70C70" w:rsidRDefault="0002677C" w:rsidP="0002677C">
            <w:pPr>
              <w:suppressAutoHyphens/>
            </w:pPr>
          </w:p>
          <w:p w14:paraId="774331C8" w14:textId="5870DB8F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35F7E399" w14:textId="77777777" w:rsidR="0002677C" w:rsidRDefault="000F2B75" w:rsidP="0002677C">
            <w:pPr>
              <w:suppressAutoHyphens/>
            </w:pPr>
            <w:sdt>
              <w:sdtPr>
                <w:id w:val="15342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1E32ACB" w14:textId="77777777" w:rsidR="0002677C" w:rsidRPr="00A70C70" w:rsidRDefault="000F2B75" w:rsidP="0002677C">
            <w:pPr>
              <w:suppressAutoHyphens/>
            </w:pPr>
            <w:sdt>
              <w:sdtPr>
                <w:id w:val="592207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2ED68CB" w14:textId="35B62D6D" w:rsidR="0002677C" w:rsidRPr="00A70C70" w:rsidRDefault="000F2B75" w:rsidP="0002677C">
            <w:pPr>
              <w:suppressAutoHyphens/>
            </w:pPr>
            <w:sdt>
              <w:sdtPr>
                <w:id w:val="62958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68D9EC51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25AE470F" w14:textId="00CC8873" w:rsidR="0002677C" w:rsidRDefault="00E0470A" w:rsidP="0002677C">
            <w:pPr>
              <w:suppressAutoHyphens/>
            </w:pPr>
            <w:r>
              <w:t xml:space="preserve">Ewentualne </w:t>
            </w:r>
            <w:r w:rsidR="000067FD">
              <w:t>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6DFA157" w14:textId="77777777" w:rsidR="0002677C" w:rsidRDefault="000F2B75" w:rsidP="0002677C">
            <w:pPr>
              <w:suppressAutoHyphens/>
            </w:pPr>
            <w:sdt>
              <w:sdtPr>
                <w:id w:val="-160834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C3D6DC7" w14:textId="77777777" w:rsidR="0002677C" w:rsidRPr="00A70C70" w:rsidRDefault="000F2B75" w:rsidP="0002677C">
            <w:pPr>
              <w:suppressAutoHyphens/>
            </w:pPr>
            <w:sdt>
              <w:sdtPr>
                <w:id w:val="76642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BA97024" w14:textId="041A0EB9" w:rsidR="0002677C" w:rsidRPr="00A70C70" w:rsidRDefault="000F2B75" w:rsidP="0002677C">
            <w:pPr>
              <w:suppressAutoHyphens/>
            </w:pPr>
            <w:sdt>
              <w:sdtPr>
                <w:id w:val="-113309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9E8CE56" w14:textId="774D987B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6083BAE" w14:textId="77777777" w:rsidR="0002677C" w:rsidRPr="00A70C70" w:rsidRDefault="000F2B75" w:rsidP="0002677C">
            <w:pPr>
              <w:keepNext/>
            </w:pPr>
            <w:sdt>
              <w:sdtPr>
                <w:id w:val="-1228144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3408272" w14:textId="44E6638B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146254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245B0D83" w14:textId="77777777" w:rsidTr="00485E75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16A92158" w14:textId="70F2E86B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613" w:type="dxa"/>
            <w:shd w:val="clear" w:color="auto" w:fill="EDEDED" w:themeFill="accent3" w:themeFillTint="33"/>
            <w:vAlign w:val="center"/>
          </w:tcPr>
          <w:p w14:paraId="1C27D034" w14:textId="76E95B98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Umiejętność </w:t>
            </w:r>
            <w:r w:rsidRPr="00FE0D1C">
              <w:rPr>
                <w:rFonts w:cstheme="minorHAnsi"/>
                <w:sz w:val="24"/>
                <w:szCs w:val="24"/>
              </w:rPr>
              <w:t xml:space="preserve">zarządzania krajowymi grupami kapitałowymi oraz </w:t>
            </w: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czynników ryzyka związanych ze strukturą takich grup</w:t>
            </w:r>
          </w:p>
          <w:p w14:paraId="7170DD98" w14:textId="257A2B13" w:rsidR="0002677C" w:rsidRDefault="001113A7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Osoba obowiązana</w:t>
            </w:r>
            <w:r w:rsidR="0002677C" w:rsidRPr="001641D6">
              <w:rPr>
                <w:rFonts w:cstheme="minorHAnsi"/>
                <w:sz w:val="20"/>
                <w:szCs w:val="24"/>
              </w:rPr>
              <w:t xml:space="preserve"> potrafi kierować grupą kapitałową, realizować nałożone strategi</w:t>
            </w:r>
            <w:r w:rsidR="0002677C">
              <w:rPr>
                <w:rFonts w:cstheme="minorHAnsi"/>
                <w:sz w:val="20"/>
                <w:szCs w:val="24"/>
              </w:rPr>
              <w:t>e</w:t>
            </w:r>
            <w:r w:rsidR="0002677C" w:rsidRPr="001641D6">
              <w:rPr>
                <w:rFonts w:cstheme="minorHAnsi"/>
                <w:sz w:val="20"/>
                <w:szCs w:val="24"/>
              </w:rPr>
              <w:t xml:space="preserve"> działalnoś</w:t>
            </w:r>
            <w:r w:rsidR="0002677C">
              <w:rPr>
                <w:rFonts w:cstheme="minorHAnsi"/>
                <w:sz w:val="20"/>
                <w:szCs w:val="24"/>
              </w:rPr>
              <w:t>ci</w:t>
            </w:r>
            <w:r w:rsidR="0002677C" w:rsidRPr="001641D6">
              <w:rPr>
                <w:rFonts w:cstheme="minorHAnsi"/>
                <w:sz w:val="20"/>
                <w:szCs w:val="24"/>
              </w:rPr>
              <w:t>/biznesplany, jak również zna i rozumie ryzyka związane z kierowaniem grupą kapitałową</w:t>
            </w:r>
            <w:r w:rsidR="008C3E89">
              <w:rPr>
                <w:rFonts w:cstheme="minorHAnsi"/>
                <w:sz w:val="20"/>
                <w:szCs w:val="24"/>
              </w:rPr>
              <w:t>.</w:t>
            </w:r>
            <w:r w:rsidR="0002677C" w:rsidRPr="001641D6">
              <w:rPr>
                <w:rFonts w:cstheme="minorHAnsi"/>
                <w:sz w:val="20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F2F7FC"/>
            <w:vAlign w:val="center"/>
          </w:tcPr>
          <w:p w14:paraId="7C359A9F" w14:textId="14B6DB8B" w:rsidR="0002677C" w:rsidRDefault="000F2B75" w:rsidP="0002677C">
            <w:pPr>
              <w:suppressAutoHyphens/>
            </w:pPr>
            <w:sdt>
              <w:sdtPr>
                <w:id w:val="691654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F79CD29" w14:textId="77777777" w:rsidR="0002677C" w:rsidRPr="00A70C70" w:rsidRDefault="000F2B75" w:rsidP="0002677C">
            <w:pPr>
              <w:suppressAutoHyphens/>
            </w:pPr>
            <w:sdt>
              <w:sdtPr>
                <w:id w:val="-146256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EC05A0F" w14:textId="5EB4F03D" w:rsidR="0002677C" w:rsidRPr="00A70C70" w:rsidRDefault="000F2B75" w:rsidP="0002677C">
            <w:pPr>
              <w:suppressAutoHyphens/>
            </w:pPr>
            <w:sdt>
              <w:sdtPr>
                <w:id w:val="1033700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644BEC2E" w14:textId="77777777" w:rsidR="0002677C" w:rsidRPr="00A70C70" w:rsidRDefault="0002677C" w:rsidP="0002677C">
            <w:pPr>
              <w:suppressAutoHyphens/>
            </w:pPr>
          </w:p>
          <w:p w14:paraId="4FB08EEE" w14:textId="77777777" w:rsidR="0002677C" w:rsidRDefault="0002677C" w:rsidP="0002677C">
            <w:pPr>
              <w:suppressAutoHyphens/>
            </w:pPr>
          </w:p>
          <w:p w14:paraId="11F20C01" w14:textId="436821B8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63A9FF81" w14:textId="77777777" w:rsidR="0002677C" w:rsidRDefault="000F2B75" w:rsidP="0002677C">
            <w:pPr>
              <w:suppressAutoHyphens/>
            </w:pPr>
            <w:sdt>
              <w:sdtPr>
                <w:id w:val="-204066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BBBEB2E" w14:textId="77777777" w:rsidR="0002677C" w:rsidRPr="00A70C70" w:rsidRDefault="000F2B75" w:rsidP="0002677C">
            <w:pPr>
              <w:suppressAutoHyphens/>
            </w:pPr>
            <w:sdt>
              <w:sdtPr>
                <w:id w:val="202875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33A0C18" w14:textId="37B0BFA8" w:rsidR="0002677C" w:rsidRPr="00A70C70" w:rsidRDefault="000F2B75" w:rsidP="0002677C">
            <w:pPr>
              <w:suppressAutoHyphens/>
            </w:pPr>
            <w:sdt>
              <w:sdtPr>
                <w:id w:val="72110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4EEBA08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155CC620" w14:textId="641DF8FC" w:rsidR="0002677C" w:rsidRDefault="000067FD" w:rsidP="000067FD">
            <w:pPr>
              <w:suppressAutoHyphens/>
            </w:pPr>
            <w:r>
              <w:t>Ewentualne u</w:t>
            </w:r>
            <w:r w:rsidR="0002677C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C6624EA" w14:textId="77777777" w:rsidR="0002677C" w:rsidRDefault="000F2B75" w:rsidP="0002677C">
            <w:pPr>
              <w:suppressAutoHyphens/>
            </w:pPr>
            <w:sdt>
              <w:sdtPr>
                <w:id w:val="-16124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5A2D736" w14:textId="77777777" w:rsidR="0002677C" w:rsidRPr="00A70C70" w:rsidRDefault="000F2B75" w:rsidP="0002677C">
            <w:pPr>
              <w:suppressAutoHyphens/>
            </w:pPr>
            <w:sdt>
              <w:sdtPr>
                <w:id w:val="132693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32700EC" w14:textId="50CE8E2C" w:rsidR="0002677C" w:rsidRPr="00A70C70" w:rsidRDefault="000F2B75" w:rsidP="0002677C">
            <w:pPr>
              <w:suppressAutoHyphens/>
            </w:pPr>
            <w:sdt>
              <w:sdtPr>
                <w:id w:val="142437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485E75">
              <w:t>Dobry</w:t>
            </w:r>
          </w:p>
          <w:p w14:paraId="232971C0" w14:textId="0427F81D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719F0293" w14:textId="77777777" w:rsidR="0002677C" w:rsidRPr="00A70C70" w:rsidRDefault="000F2B75" w:rsidP="0002677C">
            <w:pPr>
              <w:keepNext/>
            </w:pPr>
            <w:sdt>
              <w:sdtPr>
                <w:id w:val="-70185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07FD881A" w14:textId="7C32A2A8" w:rsidR="0002677C" w:rsidRDefault="000F2B75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980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</w:tbl>
    <w:p w14:paraId="09C8AE99" w14:textId="77777777" w:rsidR="00A768C3" w:rsidRDefault="00A768C3" w:rsidP="00824DB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"/>
        <w:gridCol w:w="4239"/>
        <w:gridCol w:w="2835"/>
        <w:gridCol w:w="2835"/>
        <w:gridCol w:w="1843"/>
        <w:gridCol w:w="1666"/>
      </w:tblGrid>
      <w:tr w:rsidR="00A768C3" w:rsidRPr="00AB573D" w14:paraId="6A0CCAB2" w14:textId="77777777" w:rsidTr="0018379A">
        <w:trPr>
          <w:cantSplit/>
        </w:trPr>
        <w:tc>
          <w:tcPr>
            <w:tcW w:w="0" w:type="auto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6A674FFF" w:rsidR="00A768C3" w:rsidRPr="00AB573D" w:rsidRDefault="00A768C3" w:rsidP="008210FD">
            <w:pPr>
              <w:pStyle w:val="Akapitzlist"/>
              <w:numPr>
                <w:ilvl w:val="0"/>
                <w:numId w:val="1"/>
              </w:numPr>
              <w:rPr>
                <w:b/>
                <w:sz w:val="28"/>
                <w:szCs w:val="24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4"/>
              </w:rPr>
              <w:t xml:space="preserve">Kompetencje w zakresie zarządzania ryzykami </w:t>
            </w:r>
            <w:r w:rsidR="008210FD">
              <w:rPr>
                <w:b/>
                <w:sz w:val="28"/>
                <w:szCs w:val="24"/>
              </w:rPr>
              <w:t xml:space="preserve">istotnymi, </w:t>
            </w:r>
            <w:r>
              <w:rPr>
                <w:b/>
                <w:sz w:val="28"/>
                <w:szCs w:val="24"/>
              </w:rPr>
              <w:t xml:space="preserve">występującymi w działalności </w:t>
            </w:r>
            <w:r w:rsidR="008210FD">
              <w:rPr>
                <w:b/>
                <w:sz w:val="28"/>
                <w:szCs w:val="24"/>
              </w:rPr>
              <w:t>D</w:t>
            </w:r>
            <w:r w:rsidR="00D76547">
              <w:rPr>
                <w:b/>
                <w:sz w:val="28"/>
                <w:szCs w:val="24"/>
              </w:rPr>
              <w:t xml:space="preserve">omu </w:t>
            </w:r>
            <w:r w:rsidR="008210FD">
              <w:rPr>
                <w:b/>
                <w:sz w:val="28"/>
                <w:szCs w:val="24"/>
              </w:rPr>
              <w:t>M</w:t>
            </w:r>
            <w:r w:rsidR="00D76547">
              <w:rPr>
                <w:b/>
                <w:sz w:val="28"/>
                <w:szCs w:val="24"/>
              </w:rPr>
              <w:t>aklerskiego</w:t>
            </w:r>
            <w:r w:rsidR="007F568E">
              <w:rPr>
                <w:rStyle w:val="Odwoanieprzypisudolnego"/>
                <w:b/>
                <w:sz w:val="28"/>
                <w:szCs w:val="24"/>
              </w:rPr>
              <w:footnoteReference w:id="3"/>
            </w:r>
          </w:p>
        </w:tc>
      </w:tr>
      <w:tr w:rsidR="0018379A" w:rsidRPr="00246D14" w14:paraId="233C0FD2" w14:textId="77777777" w:rsidTr="00821AA0">
        <w:trPr>
          <w:cantSplit/>
        </w:trPr>
        <w:tc>
          <w:tcPr>
            <w:tcW w:w="0" w:type="auto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7C90787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239" w:type="dxa"/>
            <w:shd w:val="clear" w:color="auto" w:fill="E7E6E6" w:themeFill="background2"/>
            <w:vAlign w:val="center"/>
          </w:tcPr>
          <w:p w14:paraId="463278FF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95895E5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09B42332" w14:textId="77777777" w:rsidR="00821AA0" w:rsidRDefault="00821AA0" w:rsidP="00821AA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767B4210" w14:textId="39A4CB11" w:rsidR="0018379A" w:rsidRPr="00246D14" w:rsidRDefault="00821AA0" w:rsidP="000067F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7B2823C5" w14:textId="6EB0160A" w:rsidR="0018379A" w:rsidRPr="00246D14" w:rsidRDefault="0018379A" w:rsidP="000067F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A4355">
              <w:rPr>
                <w:sz w:val="24"/>
                <w:szCs w:val="24"/>
              </w:rPr>
              <w:t>Organ oceniający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DF12CBC" w14:textId="6D419FB0" w:rsidR="0018379A" w:rsidRPr="00246D14" w:rsidRDefault="00821AA0" w:rsidP="000067F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485E75">
              <w:rPr>
                <w:sz w:val="24"/>
                <w:szCs w:val="24"/>
              </w:rPr>
              <w:t>Dom Maklerski</w:t>
            </w:r>
          </w:p>
        </w:tc>
        <w:tc>
          <w:tcPr>
            <w:tcW w:w="1666" w:type="dxa"/>
            <w:shd w:val="clear" w:color="auto" w:fill="E7E6E6" w:themeFill="background2"/>
            <w:vAlign w:val="center"/>
          </w:tcPr>
          <w:p w14:paraId="384DFEFD" w14:textId="27889A6B" w:rsidR="0018379A" w:rsidRPr="00246D14" w:rsidRDefault="0018379A" w:rsidP="000067F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tr w:rsidR="0018379A" w:rsidRPr="00246D14" w14:paraId="31A5FA5E" w14:textId="77777777" w:rsidTr="0073316A">
        <w:tc>
          <w:tcPr>
            <w:tcW w:w="0" w:type="auto"/>
            <w:shd w:val="clear" w:color="auto" w:fill="EDEDED" w:themeFill="accent3" w:themeFillTint="33"/>
          </w:tcPr>
          <w:p w14:paraId="5237B1F2" w14:textId="786225A8" w:rsidR="0018379A" w:rsidRPr="00246D14" w:rsidRDefault="0018379A" w:rsidP="0018379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239" w:type="dxa"/>
            <w:shd w:val="clear" w:color="auto" w:fill="EDEDED" w:themeFill="accent3" w:themeFillTint="33"/>
          </w:tcPr>
          <w:p w14:paraId="025CCCC7" w14:textId="0802935D" w:rsidR="0018379A" w:rsidRPr="00246D14" w:rsidRDefault="0018379A" w:rsidP="0018379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Ryzyko </w:t>
            </w:r>
            <w:r w:rsidRPr="00442E9D">
              <w:t>operacyjne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708CD6E3" w14:textId="3EC3F002" w:rsidR="0025046A" w:rsidRDefault="000F2B75" w:rsidP="0025046A">
            <w:pPr>
              <w:suppressAutoHyphens/>
            </w:pPr>
            <w:sdt>
              <w:sdtPr>
                <w:id w:val="-595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661CB999" w14:textId="77777777" w:rsidR="0025046A" w:rsidRPr="00A70C70" w:rsidRDefault="000F2B75" w:rsidP="0025046A">
            <w:pPr>
              <w:suppressAutoHyphens/>
            </w:pPr>
            <w:sdt>
              <w:sdtPr>
                <w:id w:val="132917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77091B97" w14:textId="4E05A581" w:rsidR="0025046A" w:rsidRDefault="000F2B75" w:rsidP="0025046A">
            <w:pPr>
              <w:suppressAutoHyphens/>
            </w:pPr>
            <w:sdt>
              <w:sdtPr>
                <w:id w:val="-97422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113E8C57" w14:textId="5B54F741" w:rsidR="0025046A" w:rsidRDefault="0025046A" w:rsidP="0025046A">
            <w:pPr>
              <w:suppressAutoHyphens/>
            </w:pPr>
          </w:p>
          <w:p w14:paraId="3D28A956" w14:textId="279A9DCE" w:rsidR="0018379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451B5558" w14:textId="77777777" w:rsidR="0025046A" w:rsidRDefault="000F2B75" w:rsidP="0025046A">
            <w:pPr>
              <w:suppressAutoHyphens/>
            </w:pPr>
            <w:sdt>
              <w:sdtPr>
                <w:id w:val="-41925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4A5F42D" w14:textId="77777777" w:rsidR="0025046A" w:rsidRPr="00A70C70" w:rsidRDefault="000F2B75" w:rsidP="0025046A">
            <w:pPr>
              <w:suppressAutoHyphens/>
            </w:pPr>
            <w:sdt>
              <w:sdtPr>
                <w:id w:val="184628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2D9528B5" w14:textId="42D5661E" w:rsidR="0025046A" w:rsidRDefault="000F2B75" w:rsidP="0025046A">
            <w:pPr>
              <w:suppressAutoHyphens/>
            </w:pPr>
            <w:sdt>
              <w:sdtPr>
                <w:id w:val="106514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25BCB2FE" w14:textId="77777777" w:rsidR="0025046A" w:rsidRDefault="0025046A" w:rsidP="0025046A">
            <w:pPr>
              <w:suppressAutoHyphens/>
            </w:pPr>
          </w:p>
          <w:p w14:paraId="66ECDF82" w14:textId="3D86647E" w:rsidR="0018379A" w:rsidRDefault="000067FD" w:rsidP="000067FD">
            <w:pPr>
              <w:suppressAutoHyphens/>
              <w:rPr>
                <w:sz w:val="24"/>
                <w:szCs w:val="24"/>
              </w:rPr>
            </w:pPr>
            <w:r>
              <w:t>Ewentualne u</w:t>
            </w:r>
            <w:r w:rsidR="0025046A"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9EF376C" w14:textId="77777777" w:rsidR="0025046A" w:rsidRDefault="000F2B75" w:rsidP="0025046A">
            <w:pPr>
              <w:suppressAutoHyphens/>
            </w:pPr>
            <w:sdt>
              <w:sdtPr>
                <w:id w:val="183386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92DF9D0" w14:textId="77777777" w:rsidR="0025046A" w:rsidRPr="00A70C70" w:rsidRDefault="000F2B75" w:rsidP="0025046A">
            <w:pPr>
              <w:suppressAutoHyphens/>
            </w:pPr>
            <w:sdt>
              <w:sdtPr>
                <w:id w:val="50886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3D5504B" w14:textId="606E31A2" w:rsidR="0025046A" w:rsidRDefault="000F2B75" w:rsidP="0025046A">
            <w:pPr>
              <w:suppressAutoHyphens/>
            </w:pPr>
            <w:sdt>
              <w:sdtPr>
                <w:id w:val="-45688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2847693A" w14:textId="0C3A60FC" w:rsidR="0018379A" w:rsidRDefault="0018379A" w:rsidP="000067F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DF0E7"/>
            <w:vAlign w:val="center"/>
          </w:tcPr>
          <w:p w14:paraId="5E58889F" w14:textId="77777777" w:rsidR="0018379A" w:rsidRPr="00A70C70" w:rsidRDefault="000F2B75" w:rsidP="0018379A">
            <w:pPr>
              <w:keepNext/>
            </w:pPr>
            <w:sdt>
              <w:sdtPr>
                <w:id w:val="-70872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79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379A" w:rsidRPr="00A70C70">
              <w:t>spełnia</w:t>
            </w:r>
          </w:p>
          <w:p w14:paraId="5088F82F" w14:textId="0FEC5413" w:rsidR="0018379A" w:rsidRPr="00DF77A1" w:rsidRDefault="000F2B75" w:rsidP="0018379A">
            <w:pPr>
              <w:keepNext/>
              <w:rPr>
                <w:sz w:val="24"/>
                <w:szCs w:val="24"/>
              </w:rPr>
            </w:pPr>
            <w:sdt>
              <w:sdtPr>
                <w:id w:val="210298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79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379A" w:rsidRPr="00A70C70">
              <w:t>nie spełnia</w:t>
            </w:r>
          </w:p>
        </w:tc>
      </w:tr>
      <w:tr w:rsidR="0025046A" w:rsidRPr="00246D14" w14:paraId="2667512A" w14:textId="77777777" w:rsidTr="0073316A">
        <w:tc>
          <w:tcPr>
            <w:tcW w:w="0" w:type="auto"/>
            <w:shd w:val="clear" w:color="auto" w:fill="EDEDED" w:themeFill="accent3" w:themeFillTint="33"/>
          </w:tcPr>
          <w:p w14:paraId="11BEDD85" w14:textId="5B552497" w:rsidR="0025046A" w:rsidRPr="00246D14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239" w:type="dxa"/>
            <w:shd w:val="clear" w:color="auto" w:fill="EDEDED" w:themeFill="accent3" w:themeFillTint="33"/>
          </w:tcPr>
          <w:p w14:paraId="6244FFB2" w14:textId="0CDD0E5E" w:rsidR="0025046A" w:rsidRDefault="0025046A" w:rsidP="000067FD">
            <w:pPr>
              <w:suppressAutoHyphens/>
              <w:rPr>
                <w:sz w:val="24"/>
                <w:szCs w:val="24"/>
              </w:rPr>
            </w:pPr>
            <w:r>
              <w:t xml:space="preserve">Ryzyko kredytowe 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331806F0" w14:textId="5149DCE4" w:rsidR="0025046A" w:rsidRDefault="000F2B75" w:rsidP="0025046A">
            <w:pPr>
              <w:suppressAutoHyphens/>
            </w:pPr>
            <w:sdt>
              <w:sdtPr>
                <w:id w:val="11926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3BCEF0CA" w14:textId="77777777" w:rsidR="0025046A" w:rsidRPr="00A70C70" w:rsidRDefault="000F2B75" w:rsidP="0025046A">
            <w:pPr>
              <w:suppressAutoHyphens/>
            </w:pPr>
            <w:sdt>
              <w:sdtPr>
                <w:id w:val="62228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0CF859CA" w14:textId="621BE20C" w:rsidR="0025046A" w:rsidRDefault="000F2B75" w:rsidP="0025046A">
            <w:pPr>
              <w:suppressAutoHyphens/>
            </w:pPr>
            <w:sdt>
              <w:sdtPr>
                <w:id w:val="-2057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4C972836" w14:textId="77777777" w:rsidR="0025046A" w:rsidRDefault="0025046A" w:rsidP="0025046A">
            <w:pPr>
              <w:suppressAutoHyphens/>
            </w:pPr>
          </w:p>
          <w:p w14:paraId="0C123B57" w14:textId="5DEE7C4D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6B7C0294" w14:textId="77777777" w:rsidR="0025046A" w:rsidRDefault="000F2B75" w:rsidP="0025046A">
            <w:pPr>
              <w:suppressAutoHyphens/>
            </w:pPr>
            <w:sdt>
              <w:sdtPr>
                <w:id w:val="-916244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F7BEA98" w14:textId="77777777" w:rsidR="0025046A" w:rsidRPr="00A70C70" w:rsidRDefault="000F2B75" w:rsidP="0025046A">
            <w:pPr>
              <w:suppressAutoHyphens/>
            </w:pPr>
            <w:sdt>
              <w:sdtPr>
                <w:id w:val="8287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1FE38264" w14:textId="585EAF79" w:rsidR="0025046A" w:rsidRDefault="000F2B75" w:rsidP="0025046A">
            <w:pPr>
              <w:suppressAutoHyphens/>
            </w:pPr>
            <w:sdt>
              <w:sdtPr>
                <w:id w:val="-195370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12364E53" w14:textId="77777777" w:rsidR="0025046A" w:rsidRDefault="0025046A" w:rsidP="0025046A">
            <w:pPr>
              <w:suppressAutoHyphens/>
            </w:pPr>
          </w:p>
          <w:p w14:paraId="3A70D223" w14:textId="1C673A5B" w:rsidR="0025046A" w:rsidRDefault="000067FD" w:rsidP="0025046A">
            <w:pPr>
              <w:suppressAutoHyphens/>
              <w:rPr>
                <w:sz w:val="24"/>
                <w:szCs w:val="24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2276493" w14:textId="77777777" w:rsidR="0025046A" w:rsidRDefault="000F2B75" w:rsidP="0025046A">
            <w:pPr>
              <w:suppressAutoHyphens/>
            </w:pPr>
            <w:sdt>
              <w:sdtPr>
                <w:id w:val="111617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C4A3192" w14:textId="77777777" w:rsidR="0025046A" w:rsidRPr="00A70C70" w:rsidRDefault="000F2B75" w:rsidP="0025046A">
            <w:pPr>
              <w:suppressAutoHyphens/>
            </w:pPr>
            <w:sdt>
              <w:sdtPr>
                <w:id w:val="101342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555C8388" w14:textId="6849CE37" w:rsidR="0025046A" w:rsidRDefault="000F2B75" w:rsidP="0025046A">
            <w:pPr>
              <w:suppressAutoHyphens/>
            </w:pPr>
            <w:sdt>
              <w:sdtPr>
                <w:id w:val="-1878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153A6362" w14:textId="473B89EF" w:rsidR="0025046A" w:rsidRDefault="0025046A" w:rsidP="000067F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DF0E7"/>
            <w:vAlign w:val="center"/>
          </w:tcPr>
          <w:p w14:paraId="164C7F3D" w14:textId="77777777" w:rsidR="0025046A" w:rsidRPr="00A70C70" w:rsidRDefault="000F2B75" w:rsidP="0025046A">
            <w:pPr>
              <w:keepNext/>
            </w:pPr>
            <w:sdt>
              <w:sdtPr>
                <w:id w:val="165865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7C0351D5" w14:textId="0FB9F924" w:rsidR="0025046A" w:rsidRDefault="000F2B75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25798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  <w:tr w:rsidR="0025046A" w:rsidRPr="00246D14" w14:paraId="715E1961" w14:textId="77777777" w:rsidTr="0073316A">
        <w:tc>
          <w:tcPr>
            <w:tcW w:w="0" w:type="auto"/>
            <w:shd w:val="clear" w:color="auto" w:fill="EDEDED" w:themeFill="accent3" w:themeFillTint="33"/>
          </w:tcPr>
          <w:p w14:paraId="415F87B1" w14:textId="27468388" w:rsidR="0025046A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239" w:type="dxa"/>
            <w:shd w:val="clear" w:color="auto" w:fill="EDEDED" w:themeFill="accent3" w:themeFillTint="33"/>
          </w:tcPr>
          <w:p w14:paraId="08E55903" w14:textId="4641D6C7" w:rsidR="0025046A" w:rsidRDefault="0025046A" w:rsidP="0025046A">
            <w:pPr>
              <w:suppressAutoHyphens/>
            </w:pPr>
            <w:r>
              <w:t>Ryzyko stopy procentowej w portfelu niehandlowym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23AA1B54" w14:textId="204872F1" w:rsidR="0025046A" w:rsidRDefault="000F2B75" w:rsidP="0025046A">
            <w:pPr>
              <w:suppressAutoHyphens/>
            </w:pPr>
            <w:sdt>
              <w:sdtPr>
                <w:id w:val="-155815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FE72474" w14:textId="77777777" w:rsidR="0025046A" w:rsidRPr="00A70C70" w:rsidRDefault="000F2B75" w:rsidP="0025046A">
            <w:pPr>
              <w:suppressAutoHyphens/>
            </w:pPr>
            <w:sdt>
              <w:sdtPr>
                <w:id w:val="28022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716E6628" w14:textId="77B73AE5" w:rsidR="0025046A" w:rsidRDefault="000F2B75" w:rsidP="0025046A">
            <w:pPr>
              <w:suppressAutoHyphens/>
            </w:pPr>
            <w:sdt>
              <w:sdtPr>
                <w:id w:val="180380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6B2D17BB" w14:textId="77777777" w:rsidR="0025046A" w:rsidRDefault="0025046A" w:rsidP="0025046A">
            <w:pPr>
              <w:suppressAutoHyphens/>
            </w:pPr>
          </w:p>
          <w:p w14:paraId="6194750C" w14:textId="3BF45F43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7AE10D4" w14:textId="77777777" w:rsidR="0025046A" w:rsidRDefault="000F2B75" w:rsidP="0025046A">
            <w:pPr>
              <w:suppressAutoHyphens/>
            </w:pPr>
            <w:sdt>
              <w:sdtPr>
                <w:id w:val="68571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2BC877FF" w14:textId="77777777" w:rsidR="0025046A" w:rsidRPr="00A70C70" w:rsidRDefault="000F2B75" w:rsidP="0025046A">
            <w:pPr>
              <w:suppressAutoHyphens/>
            </w:pPr>
            <w:sdt>
              <w:sdtPr>
                <w:id w:val="199945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4B04974" w14:textId="0BEFAC38" w:rsidR="0025046A" w:rsidRDefault="000F2B75" w:rsidP="0025046A">
            <w:pPr>
              <w:suppressAutoHyphens/>
            </w:pPr>
            <w:sdt>
              <w:sdtPr>
                <w:id w:val="165934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7C91B69D" w14:textId="77777777" w:rsidR="0025046A" w:rsidRDefault="0025046A" w:rsidP="0025046A">
            <w:pPr>
              <w:suppressAutoHyphens/>
            </w:pPr>
          </w:p>
          <w:p w14:paraId="1EE4A23C" w14:textId="3E4C9BE9" w:rsidR="0025046A" w:rsidRDefault="000067FD" w:rsidP="0025046A">
            <w:pPr>
              <w:suppressAutoHyphens/>
              <w:rPr>
                <w:sz w:val="24"/>
                <w:szCs w:val="24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0253E6D" w14:textId="77777777" w:rsidR="0025046A" w:rsidRDefault="000F2B75" w:rsidP="0025046A">
            <w:pPr>
              <w:suppressAutoHyphens/>
            </w:pPr>
            <w:sdt>
              <w:sdtPr>
                <w:id w:val="-54899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7FD88CBF" w14:textId="77777777" w:rsidR="0025046A" w:rsidRPr="00A70C70" w:rsidRDefault="000F2B75" w:rsidP="0025046A">
            <w:pPr>
              <w:suppressAutoHyphens/>
            </w:pPr>
            <w:sdt>
              <w:sdtPr>
                <w:id w:val="-11999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319C8196" w14:textId="31D9D5C5" w:rsidR="0025046A" w:rsidRDefault="000F2B75" w:rsidP="0025046A">
            <w:pPr>
              <w:suppressAutoHyphens/>
            </w:pPr>
            <w:sdt>
              <w:sdtPr>
                <w:id w:val="9437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4430ABCB" w14:textId="0BE94C6A" w:rsidR="0025046A" w:rsidRDefault="0025046A" w:rsidP="000067F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DF0E7"/>
            <w:vAlign w:val="center"/>
          </w:tcPr>
          <w:p w14:paraId="765E17A9" w14:textId="77777777" w:rsidR="0025046A" w:rsidRPr="00A70C70" w:rsidRDefault="000F2B75" w:rsidP="0025046A">
            <w:pPr>
              <w:keepNext/>
            </w:pPr>
            <w:sdt>
              <w:sdtPr>
                <w:id w:val="43416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1A3B55FA" w14:textId="12BE93C7" w:rsidR="0025046A" w:rsidRDefault="000F2B75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19115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  <w:tr w:rsidR="0025046A" w:rsidRPr="00246D14" w14:paraId="2D7BBCF1" w14:textId="77777777" w:rsidTr="0073316A">
        <w:tc>
          <w:tcPr>
            <w:tcW w:w="0" w:type="auto"/>
            <w:shd w:val="clear" w:color="auto" w:fill="EDEDED" w:themeFill="accent3" w:themeFillTint="33"/>
          </w:tcPr>
          <w:p w14:paraId="22A3E16F" w14:textId="508D216B" w:rsidR="0025046A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239" w:type="dxa"/>
            <w:shd w:val="clear" w:color="auto" w:fill="EDEDED" w:themeFill="accent3" w:themeFillTint="33"/>
          </w:tcPr>
          <w:p w14:paraId="040C19EC" w14:textId="18451323" w:rsidR="0025046A" w:rsidRDefault="0025046A" w:rsidP="000067FD">
            <w:pPr>
              <w:suppressAutoHyphens/>
            </w:pPr>
            <w:r>
              <w:t>Ryzyko płynności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4ED2E2C8" w14:textId="1EF7B841" w:rsidR="0025046A" w:rsidRDefault="000F2B75" w:rsidP="0025046A">
            <w:pPr>
              <w:suppressAutoHyphens/>
            </w:pPr>
            <w:sdt>
              <w:sdtPr>
                <w:id w:val="2101368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B52ECA6" w14:textId="77777777" w:rsidR="0025046A" w:rsidRPr="00A70C70" w:rsidRDefault="000F2B75" w:rsidP="0025046A">
            <w:pPr>
              <w:suppressAutoHyphens/>
            </w:pPr>
            <w:sdt>
              <w:sdtPr>
                <w:id w:val="-53481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074D558E" w14:textId="45D66B70" w:rsidR="0025046A" w:rsidRDefault="000F2B75" w:rsidP="0025046A">
            <w:pPr>
              <w:suppressAutoHyphens/>
            </w:pPr>
            <w:sdt>
              <w:sdtPr>
                <w:id w:val="50047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3ED4B27D" w14:textId="77777777" w:rsidR="0025046A" w:rsidRDefault="0025046A" w:rsidP="0025046A">
            <w:pPr>
              <w:suppressAutoHyphens/>
            </w:pPr>
          </w:p>
          <w:p w14:paraId="5F4B27DB" w14:textId="00D02A20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F37D0F6" w14:textId="77777777" w:rsidR="0025046A" w:rsidRDefault="000F2B75" w:rsidP="0025046A">
            <w:pPr>
              <w:suppressAutoHyphens/>
            </w:pPr>
            <w:sdt>
              <w:sdtPr>
                <w:id w:val="933639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B582A23" w14:textId="77777777" w:rsidR="0025046A" w:rsidRPr="00A70C70" w:rsidRDefault="000F2B75" w:rsidP="0025046A">
            <w:pPr>
              <w:suppressAutoHyphens/>
            </w:pPr>
            <w:sdt>
              <w:sdtPr>
                <w:id w:val="93679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5055401A" w14:textId="5452324E" w:rsidR="0025046A" w:rsidRDefault="000F2B75" w:rsidP="0025046A">
            <w:pPr>
              <w:suppressAutoHyphens/>
            </w:pPr>
            <w:sdt>
              <w:sdtPr>
                <w:id w:val="111988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338D78F7" w14:textId="77777777" w:rsidR="0025046A" w:rsidRDefault="0025046A" w:rsidP="0025046A">
            <w:pPr>
              <w:suppressAutoHyphens/>
            </w:pPr>
          </w:p>
          <w:p w14:paraId="2D6284DE" w14:textId="6ACBE4DA" w:rsidR="0025046A" w:rsidRDefault="000067FD" w:rsidP="0025046A">
            <w:pPr>
              <w:suppressAutoHyphens/>
              <w:rPr>
                <w:sz w:val="24"/>
                <w:szCs w:val="24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062D07E" w14:textId="77777777" w:rsidR="0025046A" w:rsidRDefault="000F2B75" w:rsidP="0025046A">
            <w:pPr>
              <w:suppressAutoHyphens/>
            </w:pPr>
            <w:sdt>
              <w:sdtPr>
                <w:id w:val="4056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59E54997" w14:textId="77777777" w:rsidR="0025046A" w:rsidRPr="00A70C70" w:rsidRDefault="000F2B75" w:rsidP="0025046A">
            <w:pPr>
              <w:suppressAutoHyphens/>
            </w:pPr>
            <w:sdt>
              <w:sdtPr>
                <w:id w:val="-103527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C44FB33" w14:textId="3E583C83" w:rsidR="0025046A" w:rsidRDefault="000F2B75" w:rsidP="0025046A">
            <w:pPr>
              <w:suppressAutoHyphens/>
            </w:pPr>
            <w:sdt>
              <w:sdtPr>
                <w:id w:val="-204955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1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485E75">
              <w:t>Dobry</w:t>
            </w:r>
          </w:p>
          <w:p w14:paraId="37900F1E" w14:textId="5269655F" w:rsidR="0025046A" w:rsidRDefault="0025046A" w:rsidP="000067F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DF0E7"/>
            <w:vAlign w:val="center"/>
          </w:tcPr>
          <w:p w14:paraId="0D1C7DEA" w14:textId="77777777" w:rsidR="0025046A" w:rsidRPr="00A70C70" w:rsidRDefault="000F2B75" w:rsidP="0025046A">
            <w:pPr>
              <w:keepNext/>
            </w:pPr>
            <w:sdt>
              <w:sdtPr>
                <w:id w:val="-55647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2CA0BCE7" w14:textId="191732E2" w:rsidR="0025046A" w:rsidRDefault="000F2B75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9679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3118"/>
        <w:gridCol w:w="2977"/>
        <w:gridCol w:w="2693"/>
      </w:tblGrid>
      <w:tr w:rsidR="002A45D5" w:rsidRPr="00AB573D" w14:paraId="404FDEFB" w14:textId="77777777" w:rsidTr="009A310C">
        <w:trPr>
          <w:cantSplit/>
        </w:trPr>
        <w:tc>
          <w:tcPr>
            <w:tcW w:w="14170" w:type="dxa"/>
            <w:gridSpan w:val="5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9BCEFFF" w14:textId="41AA0929" w:rsidR="002A45D5" w:rsidRPr="00AB573D" w:rsidRDefault="002A45D5" w:rsidP="002A45D5">
            <w:pPr>
              <w:pStyle w:val="Akapitzlist"/>
              <w:numPr>
                <w:ilvl w:val="0"/>
                <w:numId w:val="1"/>
              </w:num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lastRenderedPageBreak/>
              <w:t xml:space="preserve">Kompetencje w zakresie zarządzania głównymi obszarami działalności </w:t>
            </w:r>
            <w:r w:rsidR="007131E9">
              <w:rPr>
                <w:b/>
                <w:sz w:val="28"/>
                <w:szCs w:val="24"/>
              </w:rPr>
              <w:t>Dom</w:t>
            </w:r>
            <w:r>
              <w:rPr>
                <w:b/>
                <w:sz w:val="28"/>
                <w:szCs w:val="24"/>
              </w:rPr>
              <w:t xml:space="preserve">u </w:t>
            </w:r>
            <w:r w:rsidR="007131E9">
              <w:rPr>
                <w:b/>
                <w:sz w:val="28"/>
                <w:szCs w:val="24"/>
              </w:rPr>
              <w:t>Maklerski</w:t>
            </w:r>
            <w:r>
              <w:rPr>
                <w:b/>
                <w:sz w:val="28"/>
                <w:szCs w:val="24"/>
              </w:rPr>
              <w:t>ego</w:t>
            </w:r>
          </w:p>
        </w:tc>
      </w:tr>
      <w:tr w:rsidR="001D7EBD" w:rsidRPr="00246D14" w14:paraId="2F0BC218" w14:textId="77777777" w:rsidTr="001D7EBD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32A18C0" w14:textId="77777777" w:rsidR="001D7EBD" w:rsidRPr="00246D14" w:rsidRDefault="001D7EBD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14:paraId="1104683A" w14:textId="77777777" w:rsidR="001D7EBD" w:rsidRPr="00246D14" w:rsidRDefault="001D7EBD" w:rsidP="009A310C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11F30D0" w14:textId="77777777" w:rsidR="001D7EBD" w:rsidRPr="00246D14" w:rsidRDefault="001D7EBD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54A0A129" w14:textId="77777777" w:rsidR="001D7EBD" w:rsidRDefault="001D7EBD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315376A4" w14:textId="058418C0" w:rsidR="001D7EBD" w:rsidRPr="00246D14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(samoocena)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69FB35C3" w14:textId="5113FD05" w:rsidR="001D7EBD" w:rsidRPr="00246D14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A4355">
              <w:rPr>
                <w:sz w:val="24"/>
                <w:szCs w:val="24"/>
              </w:rPr>
              <w:t>Organ oceniający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7128387B" w14:textId="34986CAC" w:rsidR="001D7EBD" w:rsidRPr="00246D14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1D7EBD" w:rsidRPr="00246D14" w14:paraId="635A19CE" w14:textId="77777777" w:rsidTr="001D7EBD">
                <w:trPr>
                  <w:trHeight w:val="999"/>
                </w:trPr>
                <w:tc>
                  <w:tcPr>
                    <w:tcW w:w="421" w:type="dxa"/>
                    <w:shd w:val="clear" w:color="auto" w:fill="E7E6E6" w:themeFill="background2"/>
                  </w:tcPr>
                  <w:p w14:paraId="7121CC7C" w14:textId="385438C1" w:rsidR="001D7EBD" w:rsidRPr="00246D14" w:rsidRDefault="001D7EBD" w:rsidP="001D7EBD">
                    <w:pPr>
                      <w:pStyle w:val="Akapitzlist"/>
                      <w:numPr>
                        <w:ilvl w:val="0"/>
                        <w:numId w:val="16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961" w:type="dxa"/>
                    <w:shd w:val="clear" w:color="auto" w:fill="FDF0E7"/>
                  </w:tcPr>
                  <w:p w14:paraId="38AEB2F9" w14:textId="5D729963" w:rsidR="001D7EBD" w:rsidRPr="00246D14" w:rsidRDefault="001D7EBD" w:rsidP="001D7EBD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Obrót towarami giełdowymi</w:t>
                    </w:r>
                  </w:p>
                  <w:p w14:paraId="2114D319" w14:textId="77777777" w:rsidR="001D7EBD" w:rsidRPr="00246D14" w:rsidRDefault="001D7EBD" w:rsidP="001D7EBD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657E32C5" w14:textId="153E28E4" w:rsidR="001D7EBD" w:rsidRDefault="000F2B75" w:rsidP="001D7EBD">
                    <w:pPr>
                      <w:suppressAutoHyphens/>
                    </w:pPr>
                    <w:sdt>
                      <w:sdtPr>
                        <w:id w:val="402559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Brak         </w:t>
                    </w:r>
                  </w:p>
                  <w:p w14:paraId="356EA31C" w14:textId="77777777" w:rsidR="001D7EBD" w:rsidRPr="00A70C70" w:rsidRDefault="000F2B75" w:rsidP="001D7EBD">
                    <w:pPr>
                      <w:suppressAutoHyphens/>
                    </w:pPr>
                    <w:sdt>
                      <w:sdtPr>
                        <w:id w:val="-14372143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Podstawowy</w:t>
                    </w:r>
                  </w:p>
                  <w:p w14:paraId="70742B8E" w14:textId="77777777" w:rsidR="001D7EBD" w:rsidRDefault="000F2B75" w:rsidP="001D7EBD">
                    <w:pPr>
                      <w:suppressAutoHyphens/>
                    </w:pPr>
                    <w:sdt>
                      <w:sdtPr>
                        <w:id w:val="11273627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</w:t>
                    </w:r>
                    <w:r w:rsidR="001D7EBD">
                      <w:t>Dobry</w:t>
                    </w:r>
                  </w:p>
                  <w:p w14:paraId="33B7E43E" w14:textId="77777777" w:rsidR="001D7EBD" w:rsidRDefault="001D7EBD" w:rsidP="001D7EBD">
                    <w:pPr>
                      <w:suppressAutoHyphens/>
                    </w:pPr>
                  </w:p>
                  <w:p w14:paraId="5AD020DC" w14:textId="30BBE987" w:rsidR="001D7EBD" w:rsidRDefault="001D7EBD" w:rsidP="001D7EBD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7" w:type="dxa"/>
                    <w:shd w:val="clear" w:color="auto" w:fill="FDF0E7"/>
                    <w:vAlign w:val="center"/>
                  </w:tcPr>
                  <w:p w14:paraId="33FAB311" w14:textId="77777777" w:rsidR="001D7EBD" w:rsidRDefault="000F2B75" w:rsidP="001D7EBD">
                    <w:pPr>
                      <w:suppressAutoHyphens/>
                    </w:pPr>
                    <w:sdt>
                      <w:sdtPr>
                        <w:id w:val="9609232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Brak         </w:t>
                    </w:r>
                  </w:p>
                  <w:p w14:paraId="33B4508B" w14:textId="77777777" w:rsidR="001D7EBD" w:rsidRPr="00A70C70" w:rsidRDefault="000F2B75" w:rsidP="001D7EBD">
                    <w:pPr>
                      <w:suppressAutoHyphens/>
                    </w:pPr>
                    <w:sdt>
                      <w:sdtPr>
                        <w:id w:val="-13951867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Podstawowy</w:t>
                    </w:r>
                  </w:p>
                  <w:p w14:paraId="2782B545" w14:textId="77777777" w:rsidR="001D7EBD" w:rsidRDefault="000F2B75" w:rsidP="001D7EBD">
                    <w:pPr>
                      <w:suppressAutoHyphens/>
                    </w:pPr>
                    <w:sdt>
                      <w:sdtPr>
                        <w:id w:val="144188260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 xml:space="preserve"> </w:t>
                    </w:r>
                    <w:r w:rsidR="001D7EBD">
                      <w:t>Dobry</w:t>
                    </w:r>
                  </w:p>
                  <w:p w14:paraId="5C70EA90" w14:textId="77777777" w:rsidR="001D7EBD" w:rsidRDefault="001D7EBD" w:rsidP="001D7EBD">
                    <w:pPr>
                      <w:suppressAutoHyphens/>
                    </w:pPr>
                  </w:p>
                  <w:p w14:paraId="219CF1EA" w14:textId="72E36FA0" w:rsidR="001D7EBD" w:rsidRDefault="001D7EBD" w:rsidP="001D7EBD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t>Ewentualne u</w:t>
                    </w:r>
                    <w:r w:rsidRPr="00A70C70">
                      <w:t>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6A49E90A" w14:textId="77777777" w:rsidR="001D7EBD" w:rsidRPr="00A70C70" w:rsidRDefault="000F2B75" w:rsidP="001D7EBD">
                    <w:pPr>
                      <w:keepNext/>
                    </w:pPr>
                    <w:sdt>
                      <w:sdtPr>
                        <w:id w:val="-7845798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>spełnia</w:t>
                    </w:r>
                  </w:p>
                  <w:p w14:paraId="468E7CE4" w14:textId="0950B863" w:rsidR="001D7EBD" w:rsidRPr="00DF77A1" w:rsidRDefault="000F2B75" w:rsidP="001D7EBD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534271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1D7EBD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1D7EBD" w:rsidRPr="00A70C70">
                      <w:t>nie spełnia</w:t>
                    </w:r>
                  </w:p>
                </w:tc>
              </w:tr>
            </w:sdtContent>
          </w:sdt>
        </w:sdtContent>
      </w:sdt>
      <w:tr w:rsidR="001D7EBD" w:rsidRPr="00246D14" w14:paraId="629E4774" w14:textId="77777777" w:rsidTr="001D7EBD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75731C7D" w14:textId="77777777" w:rsidR="001D7EBD" w:rsidRPr="00246D14" w:rsidRDefault="001D7EBD" w:rsidP="001D7EBD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5C18EF54" w14:textId="629EA5E4" w:rsidR="001D7EBD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Obrót instrumentami finansowymi, w tym uprawnieniami do emisji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1C31350" w14:textId="27F511E6" w:rsidR="001D7EBD" w:rsidRDefault="000F2B75" w:rsidP="001D7EBD">
            <w:pPr>
              <w:suppressAutoHyphens/>
            </w:pPr>
            <w:sdt>
              <w:sdtPr>
                <w:id w:val="125702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03C8A5DB" w14:textId="77777777" w:rsidR="001D7EBD" w:rsidRPr="00A70C70" w:rsidRDefault="000F2B75" w:rsidP="001D7EBD">
            <w:pPr>
              <w:suppressAutoHyphens/>
            </w:pPr>
            <w:sdt>
              <w:sdtPr>
                <w:id w:val="11588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438F621B" w14:textId="77777777" w:rsidR="001D7EBD" w:rsidRDefault="000F2B75" w:rsidP="001D7EBD">
            <w:pPr>
              <w:suppressAutoHyphens/>
            </w:pPr>
            <w:sdt>
              <w:sdtPr>
                <w:id w:val="-39250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6EB36B57" w14:textId="77777777" w:rsidR="001D7EBD" w:rsidRDefault="001D7EBD" w:rsidP="001D7EBD">
            <w:pPr>
              <w:suppressAutoHyphens/>
            </w:pPr>
          </w:p>
          <w:p w14:paraId="43A25689" w14:textId="7429D805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4513BEB" w14:textId="77777777" w:rsidR="001D7EBD" w:rsidRDefault="000F2B75" w:rsidP="001D7EBD">
            <w:pPr>
              <w:suppressAutoHyphens/>
            </w:pPr>
            <w:sdt>
              <w:sdtPr>
                <w:id w:val="55759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3B7462D7" w14:textId="77777777" w:rsidR="001D7EBD" w:rsidRPr="00A70C70" w:rsidRDefault="000F2B75" w:rsidP="001D7EBD">
            <w:pPr>
              <w:suppressAutoHyphens/>
            </w:pPr>
            <w:sdt>
              <w:sdtPr>
                <w:id w:val="-1704312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7B009BFB" w14:textId="77777777" w:rsidR="001D7EBD" w:rsidRDefault="000F2B75" w:rsidP="001D7EBD">
            <w:pPr>
              <w:suppressAutoHyphens/>
            </w:pPr>
            <w:sdt>
              <w:sdtPr>
                <w:id w:val="79849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616CF021" w14:textId="77777777" w:rsidR="001D7EBD" w:rsidRDefault="001D7EBD" w:rsidP="001D7EBD">
            <w:pPr>
              <w:suppressAutoHyphens/>
            </w:pPr>
          </w:p>
          <w:p w14:paraId="45DEAA9F" w14:textId="2B451D3F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05AF695A" w14:textId="77777777" w:rsidR="001D7EBD" w:rsidRPr="00A70C70" w:rsidRDefault="000F2B75" w:rsidP="001D7EBD">
            <w:pPr>
              <w:keepNext/>
            </w:pPr>
            <w:sdt>
              <w:sdtPr>
                <w:id w:val="-170000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spełnia</w:t>
            </w:r>
          </w:p>
          <w:p w14:paraId="0148D84A" w14:textId="3569588B" w:rsidR="001D7EBD" w:rsidRPr="00A70C70" w:rsidRDefault="000F2B75" w:rsidP="001D7EBD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156815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nie spełnia</w:t>
            </w:r>
          </w:p>
        </w:tc>
      </w:tr>
      <w:tr w:rsidR="001D7EBD" w:rsidRPr="00246D14" w14:paraId="43D9343D" w14:textId="77777777" w:rsidTr="001D7EBD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39AD462A" w14:textId="77777777" w:rsidR="001D7EBD" w:rsidRPr="00246D14" w:rsidRDefault="001D7EBD" w:rsidP="001D7EBD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476980AA" w14:textId="4F1DE2CA" w:rsidR="001D7EBD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Obrót obowiązkami </w:t>
            </w:r>
            <w:proofErr w:type="spellStart"/>
            <w:r>
              <w:rPr>
                <w:sz w:val="24"/>
                <w:szCs w:val="24"/>
              </w:rPr>
              <w:t>mocowymi</w:t>
            </w:r>
            <w:proofErr w:type="spellEnd"/>
          </w:p>
        </w:tc>
        <w:tc>
          <w:tcPr>
            <w:tcW w:w="3118" w:type="dxa"/>
            <w:shd w:val="clear" w:color="auto" w:fill="F2F7FC"/>
            <w:vAlign w:val="center"/>
          </w:tcPr>
          <w:p w14:paraId="2F415502" w14:textId="1C0F7F48" w:rsidR="001D7EBD" w:rsidRDefault="000F2B75" w:rsidP="001D7EBD">
            <w:pPr>
              <w:suppressAutoHyphens/>
            </w:pPr>
            <w:sdt>
              <w:sdtPr>
                <w:id w:val="-20354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78670B16" w14:textId="77777777" w:rsidR="001D7EBD" w:rsidRPr="00A70C70" w:rsidRDefault="000F2B75" w:rsidP="001D7EBD">
            <w:pPr>
              <w:suppressAutoHyphens/>
            </w:pPr>
            <w:sdt>
              <w:sdtPr>
                <w:id w:val="11857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24213145" w14:textId="77777777" w:rsidR="001D7EBD" w:rsidRDefault="000F2B75" w:rsidP="001D7EBD">
            <w:pPr>
              <w:suppressAutoHyphens/>
            </w:pPr>
            <w:sdt>
              <w:sdtPr>
                <w:id w:val="9274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286BFBA9" w14:textId="77777777" w:rsidR="001D7EBD" w:rsidRDefault="001D7EBD" w:rsidP="001D7EBD">
            <w:pPr>
              <w:suppressAutoHyphens/>
            </w:pPr>
          </w:p>
          <w:p w14:paraId="3579D792" w14:textId="51A242D5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58EAC74F" w14:textId="77777777" w:rsidR="001D7EBD" w:rsidRDefault="000F2B75" w:rsidP="001D7EBD">
            <w:pPr>
              <w:suppressAutoHyphens/>
            </w:pPr>
            <w:sdt>
              <w:sdtPr>
                <w:id w:val="54240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41ED0B0C" w14:textId="77777777" w:rsidR="001D7EBD" w:rsidRPr="00A70C70" w:rsidRDefault="000F2B75" w:rsidP="001D7EBD">
            <w:pPr>
              <w:suppressAutoHyphens/>
            </w:pPr>
            <w:sdt>
              <w:sdtPr>
                <w:id w:val="3725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3DCDB409" w14:textId="77777777" w:rsidR="001D7EBD" w:rsidRDefault="000F2B75" w:rsidP="001D7EBD">
            <w:pPr>
              <w:suppressAutoHyphens/>
            </w:pPr>
            <w:sdt>
              <w:sdtPr>
                <w:id w:val="86888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17808D98" w14:textId="77777777" w:rsidR="001D7EBD" w:rsidRDefault="001D7EBD" w:rsidP="001D7EBD">
            <w:pPr>
              <w:suppressAutoHyphens/>
            </w:pPr>
          </w:p>
          <w:p w14:paraId="1E4FBF67" w14:textId="39C4CF45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74AD38CE" w14:textId="77777777" w:rsidR="001D7EBD" w:rsidRPr="00A70C70" w:rsidRDefault="000F2B75" w:rsidP="001D7EBD">
            <w:pPr>
              <w:keepNext/>
            </w:pPr>
            <w:sdt>
              <w:sdtPr>
                <w:id w:val="-2224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spełnia</w:t>
            </w:r>
          </w:p>
          <w:p w14:paraId="50C58056" w14:textId="3469365D" w:rsidR="001D7EBD" w:rsidRPr="00A70C70" w:rsidRDefault="000F2B75" w:rsidP="001D7EBD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70906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nie spełnia</w:t>
            </w:r>
          </w:p>
        </w:tc>
      </w:tr>
      <w:tr w:rsidR="001D7EBD" w:rsidRPr="00246D14" w14:paraId="09DF2F15" w14:textId="77777777" w:rsidTr="001D7EBD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0B9EE5ED" w14:textId="77777777" w:rsidR="001D7EBD" w:rsidRPr="00246D14" w:rsidRDefault="001D7EBD" w:rsidP="001D7EBD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69E75BAF" w14:textId="071DF62A" w:rsidR="001D7EBD" w:rsidRDefault="001D7EBD" w:rsidP="001D7EB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Prowadzenie rachunków i rejestrów oraz raportowanie EMIR i REMIT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24C9F34" w14:textId="2F2B04AC" w:rsidR="001D7EBD" w:rsidRDefault="000F2B75" w:rsidP="001D7EBD">
            <w:pPr>
              <w:suppressAutoHyphens/>
            </w:pPr>
            <w:sdt>
              <w:sdtPr>
                <w:id w:val="149838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20843F1F" w14:textId="77777777" w:rsidR="001D7EBD" w:rsidRPr="00A70C70" w:rsidRDefault="000F2B75" w:rsidP="001D7EBD">
            <w:pPr>
              <w:suppressAutoHyphens/>
            </w:pPr>
            <w:sdt>
              <w:sdtPr>
                <w:id w:val="95637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0C7648B4" w14:textId="77777777" w:rsidR="001D7EBD" w:rsidRDefault="000F2B75" w:rsidP="001D7EBD">
            <w:pPr>
              <w:suppressAutoHyphens/>
            </w:pPr>
            <w:sdt>
              <w:sdtPr>
                <w:id w:val="-78049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30CFDCF6" w14:textId="77777777" w:rsidR="001D7EBD" w:rsidRDefault="001D7EBD" w:rsidP="001D7EBD">
            <w:pPr>
              <w:suppressAutoHyphens/>
            </w:pPr>
          </w:p>
          <w:p w14:paraId="6BB53751" w14:textId="315C8C5B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681415F" w14:textId="77777777" w:rsidR="001D7EBD" w:rsidRDefault="000F2B75" w:rsidP="001D7EBD">
            <w:pPr>
              <w:suppressAutoHyphens/>
            </w:pPr>
            <w:sdt>
              <w:sdtPr>
                <w:id w:val="-18545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Brak         </w:t>
            </w:r>
          </w:p>
          <w:p w14:paraId="67B5A9D5" w14:textId="77777777" w:rsidR="001D7EBD" w:rsidRPr="00A70C70" w:rsidRDefault="000F2B75" w:rsidP="001D7EBD">
            <w:pPr>
              <w:suppressAutoHyphens/>
            </w:pPr>
            <w:sdt>
              <w:sdtPr>
                <w:id w:val="-45756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Podstawowy</w:t>
            </w:r>
          </w:p>
          <w:p w14:paraId="3F4145CB" w14:textId="77777777" w:rsidR="001D7EBD" w:rsidRDefault="000F2B75" w:rsidP="001D7EBD">
            <w:pPr>
              <w:suppressAutoHyphens/>
            </w:pPr>
            <w:sdt>
              <w:sdtPr>
                <w:id w:val="-120231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 xml:space="preserve"> </w:t>
            </w:r>
            <w:r w:rsidR="001D7EBD">
              <w:t>Dobry</w:t>
            </w:r>
          </w:p>
          <w:p w14:paraId="461F486C" w14:textId="77777777" w:rsidR="001D7EBD" w:rsidRDefault="001D7EBD" w:rsidP="001D7EBD">
            <w:pPr>
              <w:suppressAutoHyphens/>
            </w:pPr>
          </w:p>
          <w:p w14:paraId="22180A1A" w14:textId="392A429B" w:rsidR="001D7EBD" w:rsidRPr="00A70C70" w:rsidRDefault="001D7EBD" w:rsidP="001D7EBD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4869E08E" w14:textId="77777777" w:rsidR="001D7EBD" w:rsidRPr="00A70C70" w:rsidRDefault="000F2B75" w:rsidP="001D7EBD">
            <w:pPr>
              <w:keepNext/>
            </w:pPr>
            <w:sdt>
              <w:sdtPr>
                <w:id w:val="97688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spełnia</w:t>
            </w:r>
          </w:p>
          <w:p w14:paraId="6126001C" w14:textId="20D87FB4" w:rsidR="001D7EBD" w:rsidRPr="00A70C70" w:rsidRDefault="000F2B75" w:rsidP="001D7EBD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46532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EBD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D7EBD" w:rsidRPr="00A70C70">
              <w:t>nie spełnia</w:t>
            </w:r>
          </w:p>
        </w:tc>
      </w:tr>
    </w:tbl>
    <w:p w14:paraId="70D799C9" w14:textId="77777777" w:rsidR="00A768C3" w:rsidRDefault="00A768C3" w:rsidP="00E8323D"/>
    <w:p w14:paraId="7D2D4123" w14:textId="77777777" w:rsidR="000F307F" w:rsidRDefault="000F307F" w:rsidP="00E8323D">
      <w:r>
        <w:br w:type="page"/>
      </w: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</w:tblPr>
      <w:tblGrid>
        <w:gridCol w:w="1129"/>
        <w:gridCol w:w="6663"/>
        <w:gridCol w:w="2835"/>
        <w:gridCol w:w="2835"/>
      </w:tblGrid>
      <w:tr w:rsidR="00EA190A" w:rsidRPr="00246D14" w14:paraId="29FF8F34" w14:textId="77777777" w:rsidTr="00EA190A">
        <w:trPr>
          <w:cantSplit/>
        </w:trPr>
        <w:tc>
          <w:tcPr>
            <w:tcW w:w="1129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996B518" w14:textId="246955CC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14:paraId="75AE0254" w14:textId="77777777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36B9E41F" w14:textId="77777777" w:rsidR="00EA190A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2F9C3B97" w14:textId="7BADB9B4" w:rsidR="00EA190A" w:rsidRPr="00246D14" w:rsidRDefault="00EA190A" w:rsidP="003844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C8B4F23" w14:textId="16990DC4" w:rsidR="00EA190A" w:rsidRPr="00246D14" w:rsidRDefault="00EA190A" w:rsidP="0038447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A4355">
              <w:rPr>
                <w:sz w:val="24"/>
                <w:szCs w:val="24"/>
              </w:rPr>
              <w:t>Organ oceniający</w:t>
            </w:r>
          </w:p>
        </w:tc>
      </w:tr>
      <w:tr w:rsidR="00EA190A" w:rsidRPr="00246D14" w14:paraId="40C39EC8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D91731E" w14:textId="2E1E04D3" w:rsidR="00EA190A" w:rsidRPr="00246D14" w:rsidRDefault="00EA190A" w:rsidP="008673C6">
            <w:pPr>
              <w:pStyle w:val="Akapitzlist"/>
              <w:numPr>
                <w:ilvl w:val="0"/>
                <w:numId w:val="15"/>
              </w:numPr>
              <w:suppressAutoHyphens/>
              <w:ind w:hanging="106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2FFA4055" w14:textId="6A98FFB9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Właściwości osobiste</w:t>
            </w:r>
            <w:r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53153C" w14:textId="6EC3D7C2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544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48625592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1720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2E82CF14" w14:textId="5F47AF94" w:rsidR="00EA190A" w:rsidRDefault="0038447E" w:rsidP="00EA190A">
            <w:pPr>
              <w:keepNext/>
              <w:rPr>
                <w:sz w:val="24"/>
                <w:szCs w:val="24"/>
              </w:rPr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17ECE075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7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56BB00F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7157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E4ECA7F" w14:textId="4D29983A" w:rsidR="00EA190A" w:rsidRDefault="001D7EBD" w:rsidP="00EA190A">
            <w:pPr>
              <w:keepNext/>
              <w:rPr>
                <w:sz w:val="24"/>
                <w:szCs w:val="24"/>
              </w:rPr>
            </w:pPr>
            <w:r>
              <w:t>Ewentualne uzasadnienie</w:t>
            </w:r>
            <w:r w:rsidR="00EA190A">
              <w:t>:</w:t>
            </w:r>
          </w:p>
        </w:tc>
      </w:tr>
      <w:tr w:rsidR="00EA190A" w:rsidRPr="00246D14" w14:paraId="666A8F2C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1F8A2F7" w14:textId="7F4B69B9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47DDC5C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7A90A31C" w14:textId="61344D70" w:rsidR="00EA190A" w:rsidRDefault="00EA190A" w:rsidP="001D7EBD">
            <w:pPr>
              <w:suppressAutoHyphens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 xml:space="preserve">Słowa i działania </w:t>
            </w:r>
            <w:r w:rsidR="001113A7">
              <w:rPr>
                <w:sz w:val="20"/>
                <w:szCs w:val="24"/>
              </w:rPr>
              <w:t>Osob</w:t>
            </w:r>
            <w:r w:rsidR="001D7EBD">
              <w:rPr>
                <w:sz w:val="20"/>
                <w:szCs w:val="24"/>
              </w:rPr>
              <w:t>y</w:t>
            </w:r>
            <w:r w:rsidR="001113A7">
              <w:rPr>
                <w:sz w:val="20"/>
                <w:szCs w:val="24"/>
              </w:rPr>
              <w:t xml:space="preserve"> obowiązan</w:t>
            </w:r>
            <w:r w:rsidR="001D7EBD">
              <w:rPr>
                <w:sz w:val="20"/>
                <w:szCs w:val="24"/>
              </w:rPr>
              <w:t>ej</w:t>
            </w:r>
            <w:r w:rsidRPr="00CD1A12">
              <w:rPr>
                <w:sz w:val="20"/>
                <w:szCs w:val="24"/>
              </w:rPr>
              <w:t xml:space="preserve">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</w:t>
            </w:r>
            <w:r w:rsidR="001113A7">
              <w:rPr>
                <w:sz w:val="20"/>
                <w:szCs w:val="24"/>
              </w:rPr>
              <w:t>Osoba obowiązana</w:t>
            </w:r>
            <w:r w:rsidRPr="00246D14">
              <w:rPr>
                <w:sz w:val="20"/>
                <w:szCs w:val="24"/>
              </w:rPr>
              <w:t xml:space="preserve">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A1D1367" w14:textId="38B45D2A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359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187DFE22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0106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19CE7105" w14:textId="1F799A8C" w:rsidR="00EA190A" w:rsidRDefault="0038447E" w:rsidP="00EA190A">
            <w:pPr>
              <w:suppressAutoHyphens/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2650253E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0032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6BB170B8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9768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6B6239F7" w14:textId="22706FCC" w:rsidR="00EA190A" w:rsidRDefault="001D7EBD" w:rsidP="00EA190A">
            <w:pPr>
              <w:suppressAutoHyphens/>
            </w:pPr>
            <w:r>
              <w:t>Ewentualne uzasadnienie:</w:t>
            </w:r>
          </w:p>
        </w:tc>
      </w:tr>
      <w:tr w:rsidR="00EA190A" w:rsidRPr="00246D14" w14:paraId="75D54815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BA51BE6" w14:textId="5BAA06F1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4373A50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682C3C44" w14:textId="7690A022" w:rsidR="00EA190A" w:rsidRPr="00246D14" w:rsidRDefault="001113A7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EA190A">
              <w:rPr>
                <w:sz w:val="20"/>
                <w:szCs w:val="24"/>
              </w:rPr>
              <w:t xml:space="preserve"> </w:t>
            </w:r>
            <w:r w:rsidR="00EA190A" w:rsidRPr="00246D14">
              <w:rPr>
                <w:sz w:val="20"/>
                <w:szCs w:val="24"/>
              </w:rPr>
              <w:t xml:space="preserve">podejmuje decyzje terminowo na podstawie </w:t>
            </w:r>
            <w:r w:rsidR="00EA190A">
              <w:rPr>
                <w:sz w:val="20"/>
                <w:szCs w:val="24"/>
              </w:rPr>
              <w:t>dostępnych</w:t>
            </w:r>
            <w:r w:rsidR="00EA190A" w:rsidRPr="00246D14">
              <w:rPr>
                <w:sz w:val="20"/>
                <w:szCs w:val="24"/>
              </w:rPr>
              <w:t xml:space="preserve"> informacji,</w:t>
            </w:r>
            <w:r w:rsidR="00EA190A">
              <w:rPr>
                <w:sz w:val="20"/>
                <w:szCs w:val="24"/>
              </w:rPr>
              <w:t xml:space="preserve"> działając szybko lub zgodnie z </w:t>
            </w:r>
            <w:r w:rsidR="00EA190A"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DF39BF" w14:textId="26EBA4EE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1538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54B75D94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8440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410E442" w14:textId="399F4FF1" w:rsidR="00EA190A" w:rsidRDefault="0038447E" w:rsidP="00EA190A">
            <w:pPr>
              <w:keepNext/>
              <w:rPr>
                <w:sz w:val="24"/>
                <w:szCs w:val="24"/>
              </w:rPr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7E58DCC5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4470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321A6389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770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127C5101" w14:textId="0357AAFA" w:rsidR="00EA190A" w:rsidRDefault="001D7EBD" w:rsidP="00EA190A">
            <w:pPr>
              <w:keepNext/>
              <w:rPr>
                <w:sz w:val="24"/>
                <w:szCs w:val="24"/>
              </w:rPr>
            </w:pPr>
            <w:r>
              <w:t>Ewentualne uzasadnienie:</w:t>
            </w:r>
          </w:p>
        </w:tc>
      </w:tr>
      <w:tr w:rsidR="00EA190A" w:rsidRPr="00246D14" w14:paraId="4058213A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267A0C97" w14:textId="613CE4E8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471F359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341B55A" w14:textId="08CF1214" w:rsidR="00EA190A" w:rsidRDefault="001113A7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EA190A">
              <w:rPr>
                <w:sz w:val="20"/>
                <w:szCs w:val="24"/>
              </w:rPr>
              <w:t xml:space="preserve"> jest odporny</w:t>
            </w:r>
            <w:r w:rsidR="00EA190A"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BABDE66" w14:textId="05F55E6D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961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1B7FC84C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3580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7AD715E2" w14:textId="7A817183" w:rsidR="00EA190A" w:rsidRDefault="0038447E" w:rsidP="00EA190A">
            <w:pPr>
              <w:keepNext/>
              <w:rPr>
                <w:sz w:val="24"/>
                <w:szCs w:val="24"/>
              </w:rPr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6AFB8E73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791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4F94B9B4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5380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574012D8" w14:textId="4A90AEAE" w:rsidR="00EA190A" w:rsidRDefault="001D7EBD" w:rsidP="00EA190A">
            <w:pPr>
              <w:keepNext/>
              <w:rPr>
                <w:sz w:val="24"/>
                <w:szCs w:val="24"/>
              </w:rPr>
            </w:pPr>
            <w:r>
              <w:t>Ewentualne uzasadnienie:</w:t>
            </w:r>
          </w:p>
        </w:tc>
      </w:tr>
      <w:tr w:rsidR="00EA190A" w:rsidRPr="00246D14" w14:paraId="080693EF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29A86E14" w14:textId="6DB7D8B4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19E8D6B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3D93CFC8" w14:textId="77DEA83D" w:rsidR="00EA190A" w:rsidRPr="00246D14" w:rsidRDefault="001113A7" w:rsidP="00990C9E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EA190A" w:rsidRPr="00246D14">
              <w:rPr>
                <w:sz w:val="20"/>
                <w:szCs w:val="24"/>
              </w:rPr>
              <w:t xml:space="preserve"> koncentruje się na zapewnianiu </w:t>
            </w:r>
            <w:r w:rsidR="00EA190A">
              <w:rPr>
                <w:sz w:val="20"/>
                <w:szCs w:val="24"/>
              </w:rPr>
              <w:t xml:space="preserve">wysokich standardów </w:t>
            </w:r>
            <w:r w:rsidR="00EA190A" w:rsidRPr="00246D14">
              <w:rPr>
                <w:sz w:val="20"/>
                <w:szCs w:val="24"/>
              </w:rPr>
              <w:t>oraz, jeśli to możliwe, znalezie</w:t>
            </w:r>
            <w:r w:rsidR="00EA190A">
              <w:rPr>
                <w:sz w:val="20"/>
                <w:szCs w:val="24"/>
              </w:rPr>
              <w:t xml:space="preserve">niu sposobów podnoszenia ich. 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340D99C" w14:textId="23A52C89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818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9E90612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41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6A96EF50" w14:textId="06D5A929" w:rsidR="00EA190A" w:rsidRDefault="0038447E" w:rsidP="00EA190A">
            <w:pPr>
              <w:keepNext/>
              <w:rPr>
                <w:sz w:val="24"/>
                <w:szCs w:val="24"/>
              </w:rPr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094267B0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4044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53908D06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2110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18CD30F5" w14:textId="1AED5AEE" w:rsidR="00EA190A" w:rsidRDefault="001D7EBD" w:rsidP="00EA190A">
            <w:pPr>
              <w:keepNext/>
              <w:rPr>
                <w:sz w:val="24"/>
                <w:szCs w:val="24"/>
              </w:rPr>
            </w:pPr>
            <w:r>
              <w:t>Ewentualne uzasadnienie:</w:t>
            </w:r>
          </w:p>
        </w:tc>
      </w:tr>
      <w:tr w:rsidR="00EA190A" w:rsidRPr="00246D14" w14:paraId="2630E357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E38AB3E" w14:textId="4D3FBEE4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59ECF2F0" w14:textId="74BF579E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</w:t>
            </w:r>
            <w:r w:rsidR="00050A70">
              <w:rPr>
                <w:sz w:val="24"/>
                <w:szCs w:val="24"/>
              </w:rPr>
              <w:t>d</w:t>
            </w:r>
            <w:r w:rsidR="007131E9">
              <w:rPr>
                <w:sz w:val="24"/>
                <w:szCs w:val="24"/>
              </w:rPr>
              <w:t>om</w:t>
            </w:r>
            <w:r w:rsidRPr="00246D14">
              <w:rPr>
                <w:sz w:val="24"/>
                <w:szCs w:val="24"/>
              </w:rPr>
              <w:t>ość zewnętrzna</w:t>
            </w:r>
          </w:p>
          <w:p w14:paraId="6F0E3952" w14:textId="4EA4ACBE" w:rsidR="00EA190A" w:rsidRDefault="001113A7" w:rsidP="00990C9E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Osoba obowiązana</w:t>
            </w:r>
            <w:r w:rsidR="00EA190A" w:rsidRPr="002963A7">
              <w:rPr>
                <w:sz w:val="20"/>
                <w:szCs w:val="24"/>
              </w:rPr>
              <w:t xml:space="preserve"> monitoruje na bieżąco stan </w:t>
            </w:r>
            <w:r w:rsidR="00EA190A">
              <w:rPr>
                <w:sz w:val="20"/>
                <w:szCs w:val="24"/>
              </w:rPr>
              <w:t>organizacji</w:t>
            </w:r>
            <w:r w:rsidR="00EA190A" w:rsidRPr="002963A7">
              <w:rPr>
                <w:sz w:val="20"/>
                <w:szCs w:val="24"/>
              </w:rPr>
              <w:t xml:space="preserve">, panujący  w </w:t>
            </w:r>
            <w:r w:rsidR="00EA190A">
              <w:rPr>
                <w:sz w:val="20"/>
                <w:szCs w:val="24"/>
              </w:rPr>
              <w:t xml:space="preserve">niej </w:t>
            </w:r>
            <w:r w:rsidR="00EA190A" w:rsidRPr="002963A7">
              <w:rPr>
                <w:sz w:val="20"/>
                <w:szCs w:val="24"/>
              </w:rPr>
              <w:t>układ sił oraz przyjęte metody działania. Jest dobrze zorientowan</w:t>
            </w:r>
            <w:r w:rsidR="00990C9E">
              <w:rPr>
                <w:sz w:val="20"/>
                <w:szCs w:val="24"/>
              </w:rPr>
              <w:t>a</w:t>
            </w:r>
            <w:r w:rsidR="00EA190A" w:rsidRPr="002963A7">
              <w:rPr>
                <w:sz w:val="20"/>
                <w:szCs w:val="24"/>
              </w:rPr>
              <w:t xml:space="preserve"> w kwestii panującej w kraju i na </w:t>
            </w:r>
            <w:r w:rsidR="00EA190A">
              <w:rPr>
                <w:sz w:val="20"/>
                <w:szCs w:val="24"/>
              </w:rPr>
              <w:t>świecie sytuacji gospodarczej (</w:t>
            </w:r>
            <w:r w:rsidR="00EA190A"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 w:rsidR="00EA190A">
              <w:rPr>
                <w:sz w:val="20"/>
                <w:szCs w:val="24"/>
              </w:rPr>
              <w:t>organizację oraz interesy po</w:t>
            </w:r>
            <w:r w:rsidR="00EA190A" w:rsidRPr="002963A7">
              <w:rPr>
                <w:sz w:val="20"/>
                <w:szCs w:val="24"/>
              </w:rPr>
              <w:t xml:space="preserve">szczególnych </w:t>
            </w:r>
            <w:r w:rsidR="00990C9E">
              <w:rPr>
                <w:sz w:val="20"/>
                <w:szCs w:val="24"/>
              </w:rPr>
              <w:t>podmiotów</w:t>
            </w:r>
            <w:r w:rsidR="00EA190A" w:rsidRPr="002963A7">
              <w:rPr>
                <w:sz w:val="20"/>
                <w:szCs w:val="24"/>
              </w:rPr>
              <w:t xml:space="preserve">. Jednocześnie </w:t>
            </w:r>
            <w:r>
              <w:rPr>
                <w:sz w:val="20"/>
                <w:szCs w:val="24"/>
              </w:rPr>
              <w:t>Osoba obowiązana</w:t>
            </w:r>
            <w:r w:rsidR="00EA190A" w:rsidRPr="002963A7">
              <w:rPr>
                <w:sz w:val="20"/>
                <w:szCs w:val="24"/>
              </w:rPr>
              <w:t xml:space="preserve"> </w:t>
            </w:r>
            <w:r w:rsidR="00EA190A">
              <w:rPr>
                <w:sz w:val="20"/>
                <w:szCs w:val="24"/>
              </w:rPr>
              <w:t>potrafi skutecznie wykorzystywać te informacje</w:t>
            </w:r>
            <w:r w:rsidR="00EA190A" w:rsidRPr="002963A7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C3FF7B0" w14:textId="2E3C9CE2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3678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0D0DCD71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8101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FB9E9CA" w14:textId="29FBCC31" w:rsidR="00EA190A" w:rsidRDefault="0038447E" w:rsidP="00EA190A">
            <w:pPr>
              <w:suppressAutoHyphens/>
            </w:pPr>
            <w:r>
              <w:t>Ewentualne uzasadnienie</w:t>
            </w:r>
            <w:r w:rsidR="00EA190A">
              <w:t>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4F330109" w14:textId="77777777" w:rsidR="00EA190A" w:rsidRDefault="000F2B75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17018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2BB8970" w14:textId="77777777" w:rsidR="00EA190A" w:rsidRDefault="000F2B75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36675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DCA393F" w14:textId="21F537BF" w:rsidR="00EA190A" w:rsidRDefault="001D7EBD" w:rsidP="00EA190A">
            <w:pPr>
              <w:suppressAutoHyphens/>
            </w:pPr>
            <w:r>
              <w:t>Ewentualne uzasadnienie:</w:t>
            </w:r>
          </w:p>
        </w:tc>
      </w:tr>
    </w:tbl>
    <w:p w14:paraId="680F282A" w14:textId="77777777" w:rsidR="0005779C" w:rsidRDefault="0005779C"/>
    <w:p w14:paraId="1B2CE8F3" w14:textId="77777777" w:rsidR="00DF77A1" w:rsidRDefault="00DF77A1"/>
    <w:tbl>
      <w:tblPr>
        <w:tblStyle w:val="Tabela-Siatka"/>
        <w:tblW w:w="13997" w:type="dxa"/>
        <w:tblLayout w:type="fixed"/>
        <w:tblLook w:val="04A0" w:firstRow="1" w:lastRow="0" w:firstColumn="1" w:lastColumn="0" w:noHBand="0" w:noVBand="1"/>
      </w:tblPr>
      <w:tblGrid>
        <w:gridCol w:w="4531"/>
        <w:gridCol w:w="9466"/>
      </w:tblGrid>
      <w:tr w:rsidR="00946ADC" w:rsidRPr="00AB573D" w14:paraId="3A5F69C6" w14:textId="77777777" w:rsidTr="00F203F2">
        <w:trPr>
          <w:cantSplit/>
        </w:trPr>
        <w:tc>
          <w:tcPr>
            <w:tcW w:w="453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13DFDFC1" w:rsidR="00946ADC" w:rsidRPr="00946ADC" w:rsidRDefault="00946ADC" w:rsidP="00F203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i podpis </w:t>
            </w:r>
            <w:r w:rsidR="001113A7">
              <w:rPr>
                <w:sz w:val="24"/>
                <w:szCs w:val="24"/>
              </w:rPr>
              <w:t>Osob</w:t>
            </w:r>
            <w:r w:rsidR="00F203F2">
              <w:rPr>
                <w:sz w:val="24"/>
                <w:szCs w:val="24"/>
              </w:rPr>
              <w:t>y</w:t>
            </w:r>
            <w:r w:rsidR="001113A7">
              <w:rPr>
                <w:sz w:val="24"/>
                <w:szCs w:val="24"/>
              </w:rPr>
              <w:t xml:space="preserve"> obowiązan</w:t>
            </w:r>
            <w:r w:rsidR="00F203F2">
              <w:rPr>
                <w:sz w:val="24"/>
                <w:szCs w:val="24"/>
              </w:rPr>
              <w:t>ej</w:t>
            </w:r>
            <w:r w:rsidR="00DD721B">
              <w:rPr>
                <w:sz w:val="24"/>
                <w:szCs w:val="24"/>
              </w:rPr>
              <w:t>:</w:t>
            </w:r>
          </w:p>
        </w:tc>
        <w:tc>
          <w:tcPr>
            <w:tcW w:w="9466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14:paraId="5FE9FFF8" w14:textId="77777777" w:rsidR="00946ADC" w:rsidRDefault="00946ADC" w:rsidP="00D43362">
            <w:pPr>
              <w:rPr>
                <w:sz w:val="24"/>
                <w:szCs w:val="24"/>
              </w:rPr>
            </w:pPr>
          </w:p>
          <w:p w14:paraId="2F0DAAD5" w14:textId="77777777" w:rsidR="00946ADC" w:rsidRPr="00D85E38" w:rsidRDefault="00946ADC" w:rsidP="00D43362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F203F2">
        <w:trPr>
          <w:cantSplit/>
        </w:trPr>
        <w:tc>
          <w:tcPr>
            <w:tcW w:w="453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1B7C87C6" w:rsidR="00943AF3" w:rsidRPr="00946ADC" w:rsidRDefault="00CA30F9" w:rsidP="007131E9">
            <w:pPr>
              <w:rPr>
                <w:sz w:val="24"/>
                <w:szCs w:val="24"/>
              </w:rPr>
            </w:pPr>
            <w:r w:rsidRPr="00CA30F9">
              <w:rPr>
                <w:sz w:val="24"/>
                <w:szCs w:val="24"/>
              </w:rPr>
              <w:t>Data i podpis osoby lub osób weryfikujących zgodność z wymogami Polityki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9466" w:type="dxa"/>
            <w:shd w:val="clear" w:color="auto" w:fill="FBE4D5" w:themeFill="accent2" w:themeFillTint="33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D43362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D43362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9A310C">
      <w:headerReference w:type="default" r:id="rId11"/>
      <w:footerReference w:type="defaul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47055" w14:textId="77777777" w:rsidR="00D20732" w:rsidRDefault="00D20732" w:rsidP="00AB573D">
      <w:pPr>
        <w:spacing w:after="0" w:line="240" w:lineRule="auto"/>
      </w:pPr>
      <w:r>
        <w:separator/>
      </w:r>
    </w:p>
  </w:endnote>
  <w:endnote w:type="continuationSeparator" w:id="0">
    <w:p w14:paraId="6A517980" w14:textId="77777777" w:rsidR="00D20732" w:rsidRDefault="00D20732" w:rsidP="00AB573D">
      <w:pPr>
        <w:spacing w:after="0" w:line="240" w:lineRule="auto"/>
      </w:pPr>
      <w:r>
        <w:continuationSeparator/>
      </w:r>
    </w:p>
  </w:endnote>
  <w:endnote w:type="continuationNotice" w:id="1">
    <w:p w14:paraId="201F8E6C" w14:textId="77777777" w:rsidR="00D20732" w:rsidRDefault="00D207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AA4D0" w14:textId="4F8FF38A" w:rsidR="00D57EB0" w:rsidRDefault="00D57EB0" w:rsidP="0096656D">
    <w:pPr>
      <w:pStyle w:val="Stopka"/>
    </w:pPr>
    <w:r>
      <w:rPr>
        <w:highlight w:val="yellow"/>
      </w:rPr>
      <w:br/>
    </w:r>
    <w:r w:rsidRPr="00360935">
      <w:rPr>
        <w:highlight w:val="yellow"/>
      </w:rPr>
      <w:t>Wypełniający daną sekcję powinien parafować każdą stronę z danej sekcji</w:t>
    </w:r>
  </w:p>
  <w:p w14:paraId="7AC3B205" w14:textId="3A44A754" w:rsidR="00D57EB0" w:rsidRDefault="00D57EB0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F2B75">
          <w:rPr>
            <w:noProof/>
          </w:rPr>
          <w:t>6</w:t>
        </w:r>
        <w:r>
          <w:fldChar w:fldCharType="end"/>
        </w:r>
        <w:r>
          <w:t>/</w:t>
        </w:r>
        <w:r w:rsidR="000F2B75">
          <w:fldChar w:fldCharType="begin"/>
        </w:r>
        <w:r w:rsidR="000F2B75">
          <w:instrText xml:space="preserve"> NUMPAGES  \* Arabic  \* MERGEFORMAT </w:instrText>
        </w:r>
        <w:r w:rsidR="000F2B75">
          <w:fldChar w:fldCharType="separate"/>
        </w:r>
        <w:r w:rsidR="000F2B75">
          <w:rPr>
            <w:noProof/>
          </w:rPr>
          <w:t>7</w:t>
        </w:r>
        <w:r w:rsidR="000F2B75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51FD3" w14:textId="77777777" w:rsidR="00D20732" w:rsidRDefault="00D20732" w:rsidP="00AB573D">
      <w:pPr>
        <w:spacing w:after="0" w:line="240" w:lineRule="auto"/>
      </w:pPr>
      <w:r>
        <w:separator/>
      </w:r>
    </w:p>
  </w:footnote>
  <w:footnote w:type="continuationSeparator" w:id="0">
    <w:p w14:paraId="0BF98BB0" w14:textId="77777777" w:rsidR="00D20732" w:rsidRDefault="00D20732" w:rsidP="00AB573D">
      <w:pPr>
        <w:spacing w:after="0" w:line="240" w:lineRule="auto"/>
      </w:pPr>
      <w:r>
        <w:continuationSeparator/>
      </w:r>
    </w:p>
  </w:footnote>
  <w:footnote w:type="continuationNotice" w:id="1">
    <w:p w14:paraId="1D2C387E" w14:textId="77777777" w:rsidR="00D20732" w:rsidRDefault="00D20732">
      <w:pPr>
        <w:spacing w:after="0" w:line="240" w:lineRule="auto"/>
      </w:pPr>
    </w:p>
  </w:footnote>
  <w:footnote w:id="2">
    <w:p w14:paraId="4293B686" w14:textId="45236FBE" w:rsidR="00D57EB0" w:rsidRDefault="00D57EB0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</w:t>
      </w:r>
      <w:r w:rsidRPr="00470CCF">
        <w:t xml:space="preserve"> samooceny </w:t>
      </w:r>
      <w:r w:rsidR="005B5D6D">
        <w:t>Osoby obowiązanej</w:t>
      </w:r>
      <w:r w:rsidRPr="00470CCF">
        <w:t>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795B2105" w14:textId="37E5994C" w:rsidR="00D57EB0" w:rsidRDefault="00D57EB0">
      <w:pPr>
        <w:pStyle w:val="Tekstprzypisudolnego"/>
      </w:pPr>
      <w:r>
        <w:rPr>
          <w:rStyle w:val="Odwoanieprzypisudolnego"/>
        </w:rPr>
        <w:footnoteRef/>
      </w:r>
      <w:r>
        <w:t xml:space="preserve"> Dotyczy członka odpowiedzialnego za nadzorowanie systemu</w:t>
      </w:r>
      <w:r w:rsidRPr="007F568E">
        <w:t xml:space="preserve"> zarządzania ryzykiem</w:t>
      </w:r>
      <w:r>
        <w:t>.</w:t>
      </w:r>
    </w:p>
  </w:footnote>
  <w:footnote w:id="4">
    <w:p w14:paraId="0A97585E" w14:textId="131F9976" w:rsidR="00D57EB0" w:rsidRDefault="00D57EB0">
      <w:pPr>
        <w:pStyle w:val="Tekstprzypisudolnego"/>
      </w:pPr>
      <w:r>
        <w:rPr>
          <w:rStyle w:val="Odwoanieprzypisudolnego"/>
        </w:rPr>
        <w:footnoteRef/>
      </w:r>
      <w:r>
        <w:t xml:space="preserve"> Punkty 1.1–1.7 stanowią rozwinięcie kompetencji z pkt 1 i ich wypełnienie nie jest obowiązkowe.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AA97" w14:textId="78467FA5" w:rsidR="00D57EB0" w:rsidRDefault="00D57EB0" w:rsidP="00485E75">
    <w:pPr>
      <w:pStyle w:val="Nagwek"/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16EBD384" wp14:editId="701E39CE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39BD55A" w14:textId="77777777" w:rsidR="00D57EB0" w:rsidRPr="001D7EBD" w:rsidRDefault="00D57EB0" w:rsidP="00485E75">
    <w:pPr>
      <w:pStyle w:val="Nagwek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AAA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B40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770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B1573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F333B3"/>
    <w:multiLevelType w:val="hybridMultilevel"/>
    <w:tmpl w:val="341C864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13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14"/>
  </w:num>
  <w:num w:numId="10">
    <w:abstractNumId w:val="3"/>
  </w:num>
  <w:num w:numId="11">
    <w:abstractNumId w:val="0"/>
  </w:num>
  <w:num w:numId="12">
    <w:abstractNumId w:val="8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067FD"/>
    <w:rsid w:val="000155E5"/>
    <w:rsid w:val="0002016F"/>
    <w:rsid w:val="0002677C"/>
    <w:rsid w:val="00033115"/>
    <w:rsid w:val="00050A70"/>
    <w:rsid w:val="0005779C"/>
    <w:rsid w:val="00071562"/>
    <w:rsid w:val="00092ABB"/>
    <w:rsid w:val="000B02FC"/>
    <w:rsid w:val="000B57E8"/>
    <w:rsid w:val="000D3DAA"/>
    <w:rsid w:val="000D5A72"/>
    <w:rsid w:val="000E7E22"/>
    <w:rsid w:val="000F27CD"/>
    <w:rsid w:val="000F2B75"/>
    <w:rsid w:val="000F307F"/>
    <w:rsid w:val="000F7239"/>
    <w:rsid w:val="001113A7"/>
    <w:rsid w:val="00111598"/>
    <w:rsid w:val="00124FAE"/>
    <w:rsid w:val="001372DF"/>
    <w:rsid w:val="001507C3"/>
    <w:rsid w:val="00160B2B"/>
    <w:rsid w:val="001641D6"/>
    <w:rsid w:val="001754FC"/>
    <w:rsid w:val="0018204D"/>
    <w:rsid w:val="0018379A"/>
    <w:rsid w:val="001856E7"/>
    <w:rsid w:val="00194B64"/>
    <w:rsid w:val="00196A91"/>
    <w:rsid w:val="001A43E5"/>
    <w:rsid w:val="001A4D3A"/>
    <w:rsid w:val="001A5689"/>
    <w:rsid w:val="001C2792"/>
    <w:rsid w:val="001D7EBD"/>
    <w:rsid w:val="001E09C9"/>
    <w:rsid w:val="001E2C57"/>
    <w:rsid w:val="001E35B2"/>
    <w:rsid w:val="001E66D4"/>
    <w:rsid w:val="001F29A2"/>
    <w:rsid w:val="001F69F2"/>
    <w:rsid w:val="001F7A99"/>
    <w:rsid w:val="0022099C"/>
    <w:rsid w:val="002227E8"/>
    <w:rsid w:val="00242472"/>
    <w:rsid w:val="00246D14"/>
    <w:rsid w:val="0025046A"/>
    <w:rsid w:val="00252236"/>
    <w:rsid w:val="002837C6"/>
    <w:rsid w:val="002949A0"/>
    <w:rsid w:val="002963A7"/>
    <w:rsid w:val="002A4355"/>
    <w:rsid w:val="002A45D5"/>
    <w:rsid w:val="002A4E95"/>
    <w:rsid w:val="002B06D3"/>
    <w:rsid w:val="002B1670"/>
    <w:rsid w:val="002C1A8B"/>
    <w:rsid w:val="002D6199"/>
    <w:rsid w:val="002D7CB9"/>
    <w:rsid w:val="002F3871"/>
    <w:rsid w:val="003137B9"/>
    <w:rsid w:val="00313B32"/>
    <w:rsid w:val="00315659"/>
    <w:rsid w:val="00333087"/>
    <w:rsid w:val="00347720"/>
    <w:rsid w:val="00356055"/>
    <w:rsid w:val="00380D85"/>
    <w:rsid w:val="0038447E"/>
    <w:rsid w:val="003B02DD"/>
    <w:rsid w:val="003B65C7"/>
    <w:rsid w:val="003C21A0"/>
    <w:rsid w:val="003C3882"/>
    <w:rsid w:val="003C58CB"/>
    <w:rsid w:val="003D5449"/>
    <w:rsid w:val="004231E9"/>
    <w:rsid w:val="00452091"/>
    <w:rsid w:val="004525F8"/>
    <w:rsid w:val="004811EF"/>
    <w:rsid w:val="00485E75"/>
    <w:rsid w:val="00493D12"/>
    <w:rsid w:val="004C1ED1"/>
    <w:rsid w:val="004F636E"/>
    <w:rsid w:val="0050239E"/>
    <w:rsid w:val="005202E7"/>
    <w:rsid w:val="0052584B"/>
    <w:rsid w:val="0053237B"/>
    <w:rsid w:val="00544099"/>
    <w:rsid w:val="005520D4"/>
    <w:rsid w:val="00552CBA"/>
    <w:rsid w:val="00560371"/>
    <w:rsid w:val="00571962"/>
    <w:rsid w:val="00574557"/>
    <w:rsid w:val="00586FA9"/>
    <w:rsid w:val="00595244"/>
    <w:rsid w:val="005A297A"/>
    <w:rsid w:val="005B5D6D"/>
    <w:rsid w:val="005D487E"/>
    <w:rsid w:val="00603303"/>
    <w:rsid w:val="006038E2"/>
    <w:rsid w:val="00617660"/>
    <w:rsid w:val="00617E05"/>
    <w:rsid w:val="00622331"/>
    <w:rsid w:val="006224C5"/>
    <w:rsid w:val="0064699D"/>
    <w:rsid w:val="00661BDB"/>
    <w:rsid w:val="00667BB6"/>
    <w:rsid w:val="00694141"/>
    <w:rsid w:val="006A1309"/>
    <w:rsid w:val="006A194B"/>
    <w:rsid w:val="006A3B08"/>
    <w:rsid w:val="006A4B23"/>
    <w:rsid w:val="006C6758"/>
    <w:rsid w:val="006D1A18"/>
    <w:rsid w:val="006D561E"/>
    <w:rsid w:val="006D5ECE"/>
    <w:rsid w:val="006D63CF"/>
    <w:rsid w:val="00711879"/>
    <w:rsid w:val="007131E9"/>
    <w:rsid w:val="007209A8"/>
    <w:rsid w:val="00722B6E"/>
    <w:rsid w:val="00726D64"/>
    <w:rsid w:val="0072C092"/>
    <w:rsid w:val="0073316A"/>
    <w:rsid w:val="0074176E"/>
    <w:rsid w:val="00741F55"/>
    <w:rsid w:val="0074207E"/>
    <w:rsid w:val="007479A4"/>
    <w:rsid w:val="007532D5"/>
    <w:rsid w:val="0076557D"/>
    <w:rsid w:val="007A5173"/>
    <w:rsid w:val="007A74F9"/>
    <w:rsid w:val="007B695E"/>
    <w:rsid w:val="007C54CD"/>
    <w:rsid w:val="007D4020"/>
    <w:rsid w:val="007E6641"/>
    <w:rsid w:val="007F568E"/>
    <w:rsid w:val="00801A69"/>
    <w:rsid w:val="008031D8"/>
    <w:rsid w:val="00810CF8"/>
    <w:rsid w:val="008210FD"/>
    <w:rsid w:val="00821AA0"/>
    <w:rsid w:val="00822F12"/>
    <w:rsid w:val="00824DBE"/>
    <w:rsid w:val="0082567E"/>
    <w:rsid w:val="008673C6"/>
    <w:rsid w:val="00881E1D"/>
    <w:rsid w:val="008C3E89"/>
    <w:rsid w:val="008D40AC"/>
    <w:rsid w:val="008D4F57"/>
    <w:rsid w:val="008E4F52"/>
    <w:rsid w:val="008E792E"/>
    <w:rsid w:val="008F6112"/>
    <w:rsid w:val="00916FF1"/>
    <w:rsid w:val="009208A3"/>
    <w:rsid w:val="009226A4"/>
    <w:rsid w:val="00927C1D"/>
    <w:rsid w:val="00943AF3"/>
    <w:rsid w:val="00946ADC"/>
    <w:rsid w:val="00954B66"/>
    <w:rsid w:val="009605A4"/>
    <w:rsid w:val="00965001"/>
    <w:rsid w:val="0096656D"/>
    <w:rsid w:val="009716C9"/>
    <w:rsid w:val="00981B0D"/>
    <w:rsid w:val="00984533"/>
    <w:rsid w:val="0098519E"/>
    <w:rsid w:val="009853D5"/>
    <w:rsid w:val="00990C9E"/>
    <w:rsid w:val="00992867"/>
    <w:rsid w:val="00996253"/>
    <w:rsid w:val="009A310C"/>
    <w:rsid w:val="009B179F"/>
    <w:rsid w:val="009D0302"/>
    <w:rsid w:val="009D5A7E"/>
    <w:rsid w:val="009E2DF7"/>
    <w:rsid w:val="009E3146"/>
    <w:rsid w:val="009E5D94"/>
    <w:rsid w:val="009F7B49"/>
    <w:rsid w:val="00A0073C"/>
    <w:rsid w:val="00A078F0"/>
    <w:rsid w:val="00A07DEE"/>
    <w:rsid w:val="00A10C6C"/>
    <w:rsid w:val="00A42FE3"/>
    <w:rsid w:val="00A4305F"/>
    <w:rsid w:val="00A666FC"/>
    <w:rsid w:val="00A768C3"/>
    <w:rsid w:val="00A81B55"/>
    <w:rsid w:val="00AA2910"/>
    <w:rsid w:val="00AB573D"/>
    <w:rsid w:val="00AD059F"/>
    <w:rsid w:val="00AE025E"/>
    <w:rsid w:val="00AE2186"/>
    <w:rsid w:val="00AE3CA3"/>
    <w:rsid w:val="00AF25DB"/>
    <w:rsid w:val="00AF4126"/>
    <w:rsid w:val="00AF456D"/>
    <w:rsid w:val="00B272B4"/>
    <w:rsid w:val="00B3572A"/>
    <w:rsid w:val="00B461BA"/>
    <w:rsid w:val="00B60F8D"/>
    <w:rsid w:val="00B653A7"/>
    <w:rsid w:val="00B65441"/>
    <w:rsid w:val="00B6705A"/>
    <w:rsid w:val="00B6731C"/>
    <w:rsid w:val="00B9441C"/>
    <w:rsid w:val="00B944AB"/>
    <w:rsid w:val="00BA1529"/>
    <w:rsid w:val="00BA7AA7"/>
    <w:rsid w:val="00BB76CF"/>
    <w:rsid w:val="00BC1136"/>
    <w:rsid w:val="00BC2524"/>
    <w:rsid w:val="00BC254F"/>
    <w:rsid w:val="00BC56E4"/>
    <w:rsid w:val="00BC6375"/>
    <w:rsid w:val="00BC76BF"/>
    <w:rsid w:val="00BD0FBF"/>
    <w:rsid w:val="00BD2DCF"/>
    <w:rsid w:val="00BF5B50"/>
    <w:rsid w:val="00C0285A"/>
    <w:rsid w:val="00C11B89"/>
    <w:rsid w:val="00C30774"/>
    <w:rsid w:val="00C65A1E"/>
    <w:rsid w:val="00C73732"/>
    <w:rsid w:val="00C73B20"/>
    <w:rsid w:val="00C81EE8"/>
    <w:rsid w:val="00CA30F9"/>
    <w:rsid w:val="00CA4610"/>
    <w:rsid w:val="00CB6454"/>
    <w:rsid w:val="00CB774D"/>
    <w:rsid w:val="00CD1A12"/>
    <w:rsid w:val="00CE77BB"/>
    <w:rsid w:val="00CF65B5"/>
    <w:rsid w:val="00D15005"/>
    <w:rsid w:val="00D20732"/>
    <w:rsid w:val="00D353E4"/>
    <w:rsid w:val="00D43362"/>
    <w:rsid w:val="00D4598D"/>
    <w:rsid w:val="00D46687"/>
    <w:rsid w:val="00D479BB"/>
    <w:rsid w:val="00D52B3B"/>
    <w:rsid w:val="00D544FC"/>
    <w:rsid w:val="00D57EB0"/>
    <w:rsid w:val="00D61966"/>
    <w:rsid w:val="00D67ADC"/>
    <w:rsid w:val="00D76547"/>
    <w:rsid w:val="00D85850"/>
    <w:rsid w:val="00D85E38"/>
    <w:rsid w:val="00D93616"/>
    <w:rsid w:val="00D9687C"/>
    <w:rsid w:val="00D97DAF"/>
    <w:rsid w:val="00DA7759"/>
    <w:rsid w:val="00DC02E4"/>
    <w:rsid w:val="00DD721B"/>
    <w:rsid w:val="00DE5488"/>
    <w:rsid w:val="00DF77A1"/>
    <w:rsid w:val="00E0194F"/>
    <w:rsid w:val="00E0470A"/>
    <w:rsid w:val="00E118B7"/>
    <w:rsid w:val="00E171F3"/>
    <w:rsid w:val="00E24DE7"/>
    <w:rsid w:val="00E374DC"/>
    <w:rsid w:val="00E42580"/>
    <w:rsid w:val="00E51C04"/>
    <w:rsid w:val="00E51C82"/>
    <w:rsid w:val="00E652B8"/>
    <w:rsid w:val="00E74C4F"/>
    <w:rsid w:val="00E80C50"/>
    <w:rsid w:val="00E8323D"/>
    <w:rsid w:val="00E9254B"/>
    <w:rsid w:val="00EA190A"/>
    <w:rsid w:val="00EC087C"/>
    <w:rsid w:val="00ED6C28"/>
    <w:rsid w:val="00ED78D7"/>
    <w:rsid w:val="00EE48A0"/>
    <w:rsid w:val="00EF5421"/>
    <w:rsid w:val="00EF5A6F"/>
    <w:rsid w:val="00EF6044"/>
    <w:rsid w:val="00EF6AE3"/>
    <w:rsid w:val="00F12C21"/>
    <w:rsid w:val="00F203F2"/>
    <w:rsid w:val="00F32B6A"/>
    <w:rsid w:val="00F4132B"/>
    <w:rsid w:val="00F447C3"/>
    <w:rsid w:val="00F4732A"/>
    <w:rsid w:val="00F548D6"/>
    <w:rsid w:val="00F63244"/>
    <w:rsid w:val="00F679F1"/>
    <w:rsid w:val="00F86A40"/>
    <w:rsid w:val="00F87F86"/>
    <w:rsid w:val="00FA3434"/>
    <w:rsid w:val="00FB3A0F"/>
    <w:rsid w:val="00FD1DE4"/>
    <w:rsid w:val="00FD4FFA"/>
    <w:rsid w:val="00FD558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E79DB-D401-4E6F-AA0C-D1899A32F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3812B1-292D-4BFD-B097-BC614DD4C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1386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Misiak Beata [PGE Dom Maklerski S.A.]</cp:lastModifiedBy>
  <cp:revision>20</cp:revision>
  <cp:lastPrinted>2019-11-29T13:20:00Z</cp:lastPrinted>
  <dcterms:created xsi:type="dcterms:W3CDTF">2020-01-22T14:09:00Z</dcterms:created>
  <dcterms:modified xsi:type="dcterms:W3CDTF">2023-08-16T09:37:00Z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